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7E5AC">
      <w:pPr>
        <w:widowControl/>
        <w:adjustRightInd w:val="0"/>
        <w:snapToGrid w:val="0"/>
        <w:spacing w:line="360" w:lineRule="auto"/>
        <w:jc w:val="left"/>
        <w:rPr>
          <w:rFonts w:hint="eastAsia" w:ascii="宋体" w:hAnsi="宋体" w:eastAsia="宋体" w:cs="宋体"/>
          <w:b/>
          <w:bCs/>
          <w:color w:val="000000" w:themeColor="text1"/>
          <w:sz w:val="28"/>
          <w:szCs w:val="28"/>
          <w14:textFill>
            <w14:solidFill>
              <w14:schemeClr w14:val="tx1"/>
            </w14:solidFill>
          </w14:textFill>
        </w:rPr>
      </w:pPr>
    </w:p>
    <w:p w14:paraId="33B2A8DD">
      <w:pPr>
        <w:widowControl/>
        <w:adjustRightInd w:val="0"/>
        <w:snapToGrid w:val="0"/>
        <w:spacing w:line="360" w:lineRule="auto"/>
        <w:jc w:val="left"/>
        <w:rPr>
          <w:rFonts w:hint="eastAsia" w:ascii="宋体" w:hAnsi="宋体" w:eastAsia="宋体" w:cs="宋体"/>
          <w:b/>
          <w:bCs/>
          <w:color w:val="000000" w:themeColor="text1"/>
          <w:sz w:val="44"/>
          <w:szCs w:val="44"/>
          <w14:textFill>
            <w14:solidFill>
              <w14:schemeClr w14:val="tx1"/>
            </w14:solidFill>
          </w14:textFill>
        </w:rPr>
      </w:pPr>
    </w:p>
    <w:p w14:paraId="6804F4A8">
      <w:pPr>
        <w:widowControl/>
        <w:adjustRightInd w:val="0"/>
        <w:snapToGrid w:val="0"/>
        <w:ind w:firstLine="560"/>
        <w:jc w:val="center"/>
        <w:rPr>
          <w:rFonts w:hint="eastAsia" w:ascii="宋体" w:hAnsi="宋体" w:eastAsia="宋体" w:cs="宋体"/>
          <w:b/>
          <w:bCs/>
          <w:color w:val="000000" w:themeColor="text1"/>
          <w:sz w:val="28"/>
          <w14:textFill>
            <w14:solidFill>
              <w14:schemeClr w14:val="tx1"/>
            </w14:solidFill>
          </w14:textFill>
        </w:rPr>
      </w:pPr>
    </w:p>
    <w:p w14:paraId="212AD116">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高州项目：高州市绿能环保发电厂</w:t>
      </w:r>
    </w:p>
    <w:p w14:paraId="02A3FCBB">
      <w:pPr>
        <w:widowControl/>
        <w:tabs>
          <w:tab w:val="left" w:pos="6840"/>
        </w:tabs>
        <w:adjustRightInd w:val="0"/>
        <w:snapToGrid w:val="0"/>
        <w:spacing w:line="360" w:lineRule="auto"/>
        <w:rPr>
          <w:rFonts w:hint="eastAsia"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 xml:space="preserve">       吴川项目：吴川市环保热力发电厂</w:t>
      </w:r>
    </w:p>
    <w:p w14:paraId="68234D33">
      <w:pPr>
        <w:pStyle w:val="43"/>
        <w:rPr>
          <w:rFonts w:hint="eastAsia"/>
        </w:rPr>
      </w:pPr>
      <w:r>
        <w:rPr>
          <w:rFonts w:hint="eastAsia" w:cs="宋体"/>
          <w:b/>
          <w:bCs/>
          <w:color w:val="000000" w:themeColor="text1"/>
          <w:sz w:val="44"/>
          <w:szCs w:val="44"/>
          <w14:textFill>
            <w14:solidFill>
              <w14:schemeClr w14:val="tx1"/>
            </w14:solidFill>
          </w14:textFill>
        </w:rPr>
        <w:t>招标编号:ITB-LK-GZ/WCFD-YY-fw-2026-001</w:t>
      </w:r>
    </w:p>
    <w:p w14:paraId="2D55915F">
      <w:pPr>
        <w:widowControl/>
        <w:tabs>
          <w:tab w:val="left" w:pos="6840"/>
        </w:tabs>
        <w:adjustRightInd w:val="0"/>
        <w:snapToGrid w:val="0"/>
        <w:spacing w:line="360" w:lineRule="auto"/>
        <w:rPr>
          <w:rFonts w:hint="eastAsia" w:ascii="宋体" w:hAnsi="宋体" w:eastAsia="宋体" w:cs="宋体"/>
          <w:b/>
          <w:bCs/>
          <w:color w:val="000000" w:themeColor="text1"/>
          <w:sz w:val="44"/>
          <w:szCs w:val="44"/>
          <w14:textFill>
            <w14:solidFill>
              <w14:schemeClr w14:val="tx1"/>
            </w14:solidFill>
          </w14:textFill>
        </w:rPr>
      </w:pPr>
    </w:p>
    <w:p w14:paraId="46B6ACF2">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14:textFill>
            <w14:solidFill>
              <w14:schemeClr w14:val="tx1"/>
            </w14:solidFill>
          </w14:textFill>
        </w:rPr>
      </w:pPr>
    </w:p>
    <w:p w14:paraId="6915AC09">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2026年度飞灰固化处理服务</w:t>
      </w:r>
    </w:p>
    <w:p w14:paraId="7F75B33A">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14:textFill>
            <w14:solidFill>
              <w14:schemeClr w14:val="tx1"/>
            </w14:solidFill>
          </w14:textFill>
        </w:rPr>
      </w:pPr>
    </w:p>
    <w:p w14:paraId="6169AFBB">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14:textFill>
            <w14:solidFill>
              <w14:schemeClr w14:val="tx1"/>
            </w14:solidFill>
          </w14:textFill>
        </w:rPr>
      </w:pPr>
    </w:p>
    <w:p w14:paraId="2E8775EC">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1DC3A22C">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753137BD">
      <w:pPr>
        <w:jc w:val="center"/>
        <w:rPr>
          <w:rFonts w:hint="eastAsia" w:ascii="宋体" w:hAnsi="宋体" w:eastAsia="宋体" w:cs="宋体"/>
          <w:b/>
          <w:bCs/>
          <w:color w:val="000000" w:themeColor="text1"/>
          <w:sz w:val="28"/>
          <w:szCs w:val="28"/>
          <w14:textFill>
            <w14:solidFill>
              <w14:schemeClr w14:val="tx1"/>
            </w14:solidFill>
          </w14:textFill>
        </w:rPr>
      </w:pPr>
    </w:p>
    <w:p w14:paraId="7E3A01FE">
      <w:pPr>
        <w:widowControl/>
        <w:adjustRightInd w:val="0"/>
        <w:snapToGrid w:val="0"/>
        <w:spacing w:line="360" w:lineRule="auto"/>
        <w:jc w:val="center"/>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 xml:space="preserve">招标人：深圳市朗坤科技股份有限公司 </w:t>
      </w:r>
    </w:p>
    <w:p w14:paraId="126B5833">
      <w:pPr>
        <w:jc w:val="center"/>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2025年11月</w:t>
      </w:r>
    </w:p>
    <w:p w14:paraId="3B2357CC">
      <w:pPr>
        <w:spacing w:line="300" w:lineRule="auto"/>
        <w:rPr>
          <w:rFonts w:hint="eastAsia" w:ascii="宋体" w:hAnsi="宋体" w:eastAsia="宋体" w:cs="宋体"/>
          <w:b/>
          <w:bCs/>
          <w:color w:val="000000" w:themeColor="text1"/>
          <w:sz w:val="28"/>
          <w:szCs w:val="28"/>
          <w14:textFill>
            <w14:solidFill>
              <w14:schemeClr w14:val="tx1"/>
            </w14:solidFill>
          </w14:textFill>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55EBFA96">
      <w:pPr>
        <w:jc w:val="center"/>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目录</w:t>
      </w:r>
    </w:p>
    <w:p w14:paraId="58F91F49">
      <w:pPr>
        <w:pStyle w:val="34"/>
        <w:tabs>
          <w:tab w:val="right" w:leader="dot" w:pos="9185"/>
        </w:tabs>
      </w:pPr>
      <w:r>
        <w:rPr>
          <w:rFonts w:hint="eastAsia" w:ascii="宋体" w:hAnsi="宋体" w:eastAsia="宋体" w:cs="宋体"/>
          <w:b w:val="0"/>
          <w:color w:val="000000" w:themeColor="text1"/>
          <w:sz w:val="21"/>
          <w:szCs w:val="21"/>
          <w14:textFill>
            <w14:solidFill>
              <w14:schemeClr w14:val="tx1"/>
            </w14:solidFill>
          </w14:textFill>
        </w:rPr>
        <w:fldChar w:fldCharType="begin"/>
      </w:r>
      <w:r>
        <w:rPr>
          <w:rFonts w:hint="eastAsia" w:ascii="宋体" w:hAnsi="宋体" w:eastAsia="宋体" w:cs="宋体"/>
          <w:b w:val="0"/>
          <w:color w:val="000000" w:themeColor="text1"/>
          <w:sz w:val="21"/>
          <w:szCs w:val="21"/>
          <w14:textFill>
            <w14:solidFill>
              <w14:schemeClr w14:val="tx1"/>
            </w14:solidFill>
          </w14:textFill>
        </w:rPr>
        <w:instrText xml:space="preserve"> TOC \o "1-3" \h \z \u </w:instrText>
      </w:r>
      <w:r>
        <w:rPr>
          <w:rFonts w:hint="eastAsia" w:ascii="宋体" w:hAnsi="宋体" w:eastAsia="宋体" w:cs="宋体"/>
          <w:b w:val="0"/>
          <w:color w:val="000000" w:themeColor="text1"/>
          <w:sz w:val="21"/>
          <w:szCs w:val="21"/>
          <w14:textFill>
            <w14:solidFill>
              <w14:schemeClr w14:val="tx1"/>
            </w14:solidFill>
          </w14:textFill>
        </w:rPr>
        <w:fldChar w:fldCharType="separate"/>
      </w:r>
      <w:r>
        <w:fldChar w:fldCharType="begin"/>
      </w:r>
      <w:r>
        <w:instrText xml:space="preserve"> HYPERLINK \l "_Toc29820" </w:instrText>
      </w:r>
      <w:r>
        <w:fldChar w:fldCharType="separate"/>
      </w:r>
      <w:r>
        <w:rPr>
          <w:rFonts w:ascii="宋体" w:hAnsi="宋体" w:eastAsia="宋体" w:cs="宋体"/>
          <w:szCs w:val="32"/>
        </w:rPr>
        <w:t xml:space="preserve">第一章 </w:t>
      </w:r>
      <w:r>
        <w:rPr>
          <w:rFonts w:hint="eastAsia" w:ascii="宋体" w:hAnsi="宋体" w:eastAsia="宋体" w:cs="宋体"/>
          <w:szCs w:val="32"/>
        </w:rPr>
        <w:t>投标邀请函</w:t>
      </w:r>
      <w:r>
        <w:tab/>
      </w:r>
      <w:r>
        <w:fldChar w:fldCharType="begin"/>
      </w:r>
      <w:r>
        <w:instrText xml:space="preserve"> PAGEREF _Toc29820 \h </w:instrText>
      </w:r>
      <w:r>
        <w:fldChar w:fldCharType="separate"/>
      </w:r>
      <w:r>
        <w:t>1</w:t>
      </w:r>
      <w:r>
        <w:fldChar w:fldCharType="end"/>
      </w:r>
      <w:r>
        <w:fldChar w:fldCharType="end"/>
      </w:r>
    </w:p>
    <w:p w14:paraId="683228B5">
      <w:pPr>
        <w:pStyle w:val="34"/>
        <w:tabs>
          <w:tab w:val="right" w:leader="dot" w:pos="9185"/>
        </w:tabs>
      </w:pPr>
      <w:r>
        <w:fldChar w:fldCharType="begin"/>
      </w:r>
      <w:r>
        <w:instrText xml:space="preserve"> HYPERLINK \l "_Toc4645" </w:instrText>
      </w:r>
      <w:r>
        <w:fldChar w:fldCharType="separate"/>
      </w:r>
      <w:r>
        <w:rPr>
          <w:rFonts w:hint="eastAsia" w:ascii="宋体" w:hAnsi="宋体" w:eastAsia="宋体" w:cs="宋体"/>
          <w:szCs w:val="24"/>
        </w:rPr>
        <w:t>1.招标条件</w:t>
      </w:r>
      <w:r>
        <w:tab/>
      </w:r>
      <w:r>
        <w:fldChar w:fldCharType="begin"/>
      </w:r>
      <w:r>
        <w:instrText xml:space="preserve"> PAGEREF _Toc4645 \h </w:instrText>
      </w:r>
      <w:r>
        <w:fldChar w:fldCharType="separate"/>
      </w:r>
      <w:r>
        <w:t>1</w:t>
      </w:r>
      <w:r>
        <w:fldChar w:fldCharType="end"/>
      </w:r>
      <w:r>
        <w:fldChar w:fldCharType="end"/>
      </w:r>
    </w:p>
    <w:p w14:paraId="675084E3">
      <w:pPr>
        <w:pStyle w:val="34"/>
        <w:tabs>
          <w:tab w:val="right" w:leader="dot" w:pos="9185"/>
        </w:tabs>
      </w:pPr>
      <w:r>
        <w:fldChar w:fldCharType="begin"/>
      </w:r>
      <w:r>
        <w:instrText xml:space="preserve"> HYPERLINK \l "_Toc12355" </w:instrText>
      </w:r>
      <w:r>
        <w:fldChar w:fldCharType="separate"/>
      </w:r>
      <w:r>
        <w:rPr>
          <w:rFonts w:hint="eastAsia" w:ascii="宋体" w:hAnsi="宋体" w:eastAsia="宋体" w:cs="宋体"/>
          <w:szCs w:val="24"/>
        </w:rPr>
        <w:t>2.项目概况与招标范围</w:t>
      </w:r>
      <w:r>
        <w:tab/>
      </w:r>
      <w:r>
        <w:fldChar w:fldCharType="begin"/>
      </w:r>
      <w:r>
        <w:instrText xml:space="preserve"> PAGEREF _Toc12355 \h </w:instrText>
      </w:r>
      <w:r>
        <w:fldChar w:fldCharType="separate"/>
      </w:r>
      <w:r>
        <w:t>1</w:t>
      </w:r>
      <w:r>
        <w:fldChar w:fldCharType="end"/>
      </w:r>
      <w:r>
        <w:fldChar w:fldCharType="end"/>
      </w:r>
    </w:p>
    <w:p w14:paraId="1706F034">
      <w:pPr>
        <w:pStyle w:val="34"/>
        <w:tabs>
          <w:tab w:val="right" w:leader="dot" w:pos="9185"/>
        </w:tabs>
      </w:pPr>
      <w:r>
        <w:fldChar w:fldCharType="begin"/>
      </w:r>
      <w:r>
        <w:instrText xml:space="preserve"> HYPERLINK \l "_Toc16651" </w:instrText>
      </w:r>
      <w:r>
        <w:fldChar w:fldCharType="separate"/>
      </w:r>
      <w:r>
        <w:rPr>
          <w:rFonts w:hint="eastAsia" w:ascii="宋体" w:hAnsi="宋体" w:eastAsia="宋体" w:cs="宋体"/>
          <w:szCs w:val="24"/>
        </w:rPr>
        <w:t>3.资金来源</w:t>
      </w:r>
      <w:r>
        <w:tab/>
      </w:r>
      <w:r>
        <w:fldChar w:fldCharType="begin"/>
      </w:r>
      <w:r>
        <w:instrText xml:space="preserve"> PAGEREF _Toc16651 \h </w:instrText>
      </w:r>
      <w:r>
        <w:fldChar w:fldCharType="separate"/>
      </w:r>
      <w:r>
        <w:t>2</w:t>
      </w:r>
      <w:r>
        <w:fldChar w:fldCharType="end"/>
      </w:r>
      <w:r>
        <w:fldChar w:fldCharType="end"/>
      </w:r>
    </w:p>
    <w:p w14:paraId="0039B869">
      <w:pPr>
        <w:pStyle w:val="34"/>
        <w:tabs>
          <w:tab w:val="right" w:leader="dot" w:pos="9185"/>
        </w:tabs>
      </w:pPr>
      <w:r>
        <w:fldChar w:fldCharType="begin"/>
      </w:r>
      <w:r>
        <w:instrText xml:space="preserve"> HYPERLINK \l "_Toc7160" </w:instrText>
      </w:r>
      <w:r>
        <w:fldChar w:fldCharType="separate"/>
      </w:r>
      <w:r>
        <w:rPr>
          <w:rFonts w:hint="eastAsia" w:ascii="宋体" w:hAnsi="宋体" w:eastAsia="宋体" w:cs="宋体"/>
          <w:szCs w:val="24"/>
        </w:rPr>
        <w:t>4. 合同期期</w:t>
      </w:r>
      <w:r>
        <w:tab/>
      </w:r>
      <w:r>
        <w:fldChar w:fldCharType="begin"/>
      </w:r>
      <w:r>
        <w:instrText xml:space="preserve"> PAGEREF _Toc7160 \h </w:instrText>
      </w:r>
      <w:r>
        <w:fldChar w:fldCharType="separate"/>
      </w:r>
      <w:r>
        <w:t>2</w:t>
      </w:r>
      <w:r>
        <w:fldChar w:fldCharType="end"/>
      </w:r>
      <w:r>
        <w:fldChar w:fldCharType="end"/>
      </w:r>
    </w:p>
    <w:p w14:paraId="41644C7E">
      <w:pPr>
        <w:pStyle w:val="34"/>
        <w:tabs>
          <w:tab w:val="right" w:leader="dot" w:pos="9185"/>
        </w:tabs>
      </w:pPr>
      <w:r>
        <w:fldChar w:fldCharType="begin"/>
      </w:r>
      <w:r>
        <w:instrText xml:space="preserve"> HYPERLINK \l "_Toc9479" </w:instrText>
      </w:r>
      <w:r>
        <w:fldChar w:fldCharType="separate"/>
      </w:r>
      <w:r>
        <w:rPr>
          <w:rFonts w:hint="eastAsia" w:ascii="宋体" w:hAnsi="宋体" w:eastAsia="宋体" w:cs="宋体"/>
          <w:szCs w:val="24"/>
        </w:rPr>
        <w:t>5.投标人资格要求</w:t>
      </w:r>
      <w:r>
        <w:tab/>
      </w:r>
      <w:r>
        <w:fldChar w:fldCharType="begin"/>
      </w:r>
      <w:r>
        <w:instrText xml:space="preserve"> PAGEREF _Toc9479 \h </w:instrText>
      </w:r>
      <w:r>
        <w:fldChar w:fldCharType="separate"/>
      </w:r>
      <w:r>
        <w:t>2</w:t>
      </w:r>
      <w:r>
        <w:fldChar w:fldCharType="end"/>
      </w:r>
      <w:r>
        <w:fldChar w:fldCharType="end"/>
      </w:r>
    </w:p>
    <w:p w14:paraId="3FD74807">
      <w:pPr>
        <w:pStyle w:val="34"/>
        <w:tabs>
          <w:tab w:val="right" w:leader="dot" w:pos="9185"/>
        </w:tabs>
      </w:pPr>
      <w:r>
        <w:fldChar w:fldCharType="begin"/>
      </w:r>
      <w:r>
        <w:instrText xml:space="preserve"> HYPERLINK \l "_Toc4107" </w:instrText>
      </w:r>
      <w:r>
        <w:fldChar w:fldCharType="separate"/>
      </w:r>
      <w:r>
        <w:rPr>
          <w:rFonts w:hint="eastAsia" w:ascii="宋体" w:hAnsi="宋体" w:eastAsia="宋体" w:cs="宋体"/>
          <w:szCs w:val="24"/>
        </w:rPr>
        <w:t>6.招标文件出售时间</w:t>
      </w:r>
      <w:r>
        <w:tab/>
      </w:r>
      <w:r>
        <w:rPr>
          <w:rFonts w:hint="eastAsia"/>
        </w:rPr>
        <w:t>3</w:t>
      </w:r>
      <w:r>
        <w:rPr>
          <w:rFonts w:hint="eastAsia"/>
        </w:rPr>
        <w:fldChar w:fldCharType="end"/>
      </w:r>
    </w:p>
    <w:p w14:paraId="40F31CFE">
      <w:pPr>
        <w:pStyle w:val="34"/>
        <w:tabs>
          <w:tab w:val="right" w:leader="dot" w:pos="9185"/>
        </w:tabs>
      </w:pPr>
      <w:r>
        <w:fldChar w:fldCharType="begin"/>
      </w:r>
      <w:r>
        <w:instrText xml:space="preserve"> HYPERLINK \l "_Toc6230" </w:instrText>
      </w:r>
      <w:r>
        <w:fldChar w:fldCharType="separate"/>
      </w:r>
      <w:r>
        <w:rPr>
          <w:rFonts w:hint="eastAsia" w:ascii="宋体" w:hAnsi="宋体" w:eastAsia="宋体" w:cs="宋体"/>
          <w:szCs w:val="24"/>
        </w:rPr>
        <w:t>7.获取招标文件的时间及地点</w:t>
      </w:r>
      <w:r>
        <w:tab/>
      </w:r>
      <w:r>
        <w:rPr>
          <w:rFonts w:hint="eastAsia"/>
        </w:rPr>
        <w:t>3</w:t>
      </w:r>
      <w:r>
        <w:rPr>
          <w:rFonts w:hint="eastAsia"/>
        </w:rPr>
        <w:fldChar w:fldCharType="end"/>
      </w:r>
    </w:p>
    <w:p w14:paraId="49AC1E0E">
      <w:pPr>
        <w:pStyle w:val="34"/>
        <w:tabs>
          <w:tab w:val="right" w:leader="dot" w:pos="9185"/>
        </w:tabs>
      </w:pPr>
      <w:r>
        <w:fldChar w:fldCharType="begin"/>
      </w:r>
      <w:r>
        <w:instrText xml:space="preserve"> HYPERLINK \l "_Toc12897" </w:instrText>
      </w:r>
      <w:r>
        <w:fldChar w:fldCharType="separate"/>
      </w:r>
      <w:r>
        <w:rPr>
          <w:rFonts w:hint="eastAsia" w:ascii="宋体" w:hAnsi="宋体" w:eastAsia="宋体" w:cs="宋体"/>
          <w:szCs w:val="24"/>
        </w:rPr>
        <w:t>8.招标文件费用</w:t>
      </w:r>
      <w:r>
        <w:tab/>
      </w:r>
      <w:r>
        <w:fldChar w:fldCharType="begin"/>
      </w:r>
      <w:r>
        <w:instrText xml:space="preserve"> PAGEREF _Toc12897 \h </w:instrText>
      </w:r>
      <w:r>
        <w:fldChar w:fldCharType="separate"/>
      </w:r>
      <w:r>
        <w:t>3</w:t>
      </w:r>
      <w:r>
        <w:fldChar w:fldCharType="end"/>
      </w:r>
      <w:r>
        <w:fldChar w:fldCharType="end"/>
      </w:r>
    </w:p>
    <w:p w14:paraId="6B09DA7F">
      <w:pPr>
        <w:pStyle w:val="34"/>
        <w:tabs>
          <w:tab w:val="right" w:leader="dot" w:pos="9185"/>
        </w:tabs>
      </w:pPr>
      <w:r>
        <w:fldChar w:fldCharType="begin"/>
      </w:r>
      <w:r>
        <w:instrText xml:space="preserve"> HYPERLINK \l "_Toc24239" </w:instrText>
      </w:r>
      <w:r>
        <w:fldChar w:fldCharType="separate"/>
      </w:r>
      <w:r>
        <w:rPr>
          <w:rFonts w:hint="eastAsia" w:ascii="宋体" w:hAnsi="宋体" w:eastAsia="宋体" w:cs="宋体"/>
          <w:szCs w:val="24"/>
        </w:rPr>
        <w:t>9. 投标文件的递交</w:t>
      </w:r>
      <w:r>
        <w:tab/>
      </w:r>
      <w:r>
        <w:fldChar w:fldCharType="begin"/>
      </w:r>
      <w:r>
        <w:instrText xml:space="preserve"> PAGEREF _Toc24239 \h </w:instrText>
      </w:r>
      <w:r>
        <w:fldChar w:fldCharType="separate"/>
      </w:r>
      <w:r>
        <w:t>3</w:t>
      </w:r>
      <w:r>
        <w:fldChar w:fldCharType="end"/>
      </w:r>
      <w:r>
        <w:fldChar w:fldCharType="end"/>
      </w:r>
    </w:p>
    <w:p w14:paraId="74102B0D">
      <w:pPr>
        <w:pStyle w:val="34"/>
        <w:tabs>
          <w:tab w:val="right" w:leader="dot" w:pos="9185"/>
        </w:tabs>
      </w:pPr>
      <w:r>
        <w:fldChar w:fldCharType="begin"/>
      </w:r>
      <w:r>
        <w:instrText xml:space="preserve"> HYPERLINK \l "_Toc28903" </w:instrText>
      </w:r>
      <w:r>
        <w:fldChar w:fldCharType="separate"/>
      </w:r>
      <w:r>
        <w:rPr>
          <w:rFonts w:hint="eastAsia" w:ascii="宋体" w:hAnsi="宋体" w:eastAsia="宋体" w:cs="宋体"/>
          <w:szCs w:val="24"/>
        </w:rPr>
        <w:t>10.联系方式</w:t>
      </w:r>
      <w:r>
        <w:tab/>
      </w:r>
      <w:r>
        <w:rPr>
          <w:rFonts w:hint="eastAsia"/>
        </w:rPr>
        <w:t>4</w:t>
      </w:r>
      <w:r>
        <w:rPr>
          <w:rFonts w:hint="eastAsia"/>
        </w:rPr>
        <w:fldChar w:fldCharType="end"/>
      </w:r>
    </w:p>
    <w:p w14:paraId="2B5087BC">
      <w:pPr>
        <w:pStyle w:val="40"/>
        <w:tabs>
          <w:tab w:val="right" w:leader="dot" w:pos="9185"/>
        </w:tabs>
      </w:pPr>
      <w:r>
        <w:fldChar w:fldCharType="begin"/>
      </w:r>
      <w:r>
        <w:instrText xml:space="preserve"> HYPERLINK \l "_Toc8583" </w:instrText>
      </w:r>
      <w:r>
        <w:fldChar w:fldCharType="separate"/>
      </w:r>
      <w:r>
        <w:rPr>
          <w:rFonts w:hint="eastAsia" w:ascii="宋体" w:hAnsi="宋体" w:cs="宋体"/>
          <w:szCs w:val="24"/>
        </w:rPr>
        <w:t>附件 1-1：投标意向确认书格式</w:t>
      </w:r>
      <w:r>
        <w:tab/>
      </w:r>
      <w:r>
        <w:rPr>
          <w:rFonts w:hint="eastAsia"/>
        </w:rPr>
        <w:t>5</w:t>
      </w:r>
      <w:r>
        <w:rPr>
          <w:rFonts w:hint="eastAsia"/>
        </w:rPr>
        <w:fldChar w:fldCharType="end"/>
      </w:r>
    </w:p>
    <w:p w14:paraId="4B74146F">
      <w:pPr>
        <w:pStyle w:val="40"/>
        <w:tabs>
          <w:tab w:val="right" w:leader="dot" w:pos="9185"/>
        </w:tabs>
      </w:pPr>
      <w:r>
        <w:fldChar w:fldCharType="begin"/>
      </w:r>
      <w:r>
        <w:instrText xml:space="preserve"> HYPERLINK \l "_Toc5061" </w:instrText>
      </w:r>
      <w:r>
        <w:fldChar w:fldCharType="separate"/>
      </w:r>
      <w:r>
        <w:rPr>
          <w:rFonts w:hint="eastAsia" w:ascii="宋体" w:hAnsi="宋体" w:cs="宋体"/>
          <w:szCs w:val="24"/>
        </w:rPr>
        <w:t>附件 1-2：投标联系人确认书格式</w:t>
      </w:r>
      <w:r>
        <w:tab/>
      </w:r>
      <w:r>
        <w:rPr>
          <w:rFonts w:hint="eastAsia"/>
        </w:rPr>
        <w:t>6</w:t>
      </w:r>
      <w:r>
        <w:rPr>
          <w:rFonts w:hint="eastAsia"/>
        </w:rPr>
        <w:fldChar w:fldCharType="end"/>
      </w:r>
    </w:p>
    <w:p w14:paraId="3F40B7B2">
      <w:pPr>
        <w:pStyle w:val="34"/>
        <w:tabs>
          <w:tab w:val="right" w:leader="dot" w:pos="9185"/>
        </w:tabs>
      </w:pPr>
      <w:r>
        <w:fldChar w:fldCharType="begin"/>
      </w:r>
      <w:r>
        <w:instrText xml:space="preserve"> HYPERLINK \l "_Toc17117" </w:instrText>
      </w:r>
      <w:r>
        <w:fldChar w:fldCharType="separate"/>
      </w:r>
      <w:r>
        <w:rPr>
          <w:rFonts w:ascii="宋体" w:hAnsi="宋体" w:eastAsia="宋体" w:cs="宋体"/>
          <w:szCs w:val="28"/>
        </w:rPr>
        <w:t xml:space="preserve">第二章 </w:t>
      </w:r>
      <w:r>
        <w:rPr>
          <w:rFonts w:hint="eastAsia" w:ascii="宋体" w:hAnsi="宋体" w:eastAsia="宋体" w:cs="宋体"/>
          <w:szCs w:val="32"/>
        </w:rPr>
        <w:t>投标须知</w:t>
      </w:r>
      <w:r>
        <w:tab/>
      </w:r>
      <w:r>
        <w:rPr>
          <w:rFonts w:hint="eastAsia"/>
        </w:rPr>
        <w:t>7</w:t>
      </w:r>
      <w:r>
        <w:rPr>
          <w:rFonts w:hint="eastAsia"/>
        </w:rPr>
        <w:fldChar w:fldCharType="end"/>
      </w:r>
    </w:p>
    <w:p w14:paraId="30D40B8B">
      <w:pPr>
        <w:pStyle w:val="40"/>
        <w:tabs>
          <w:tab w:val="right" w:leader="dot" w:pos="9185"/>
        </w:tabs>
      </w:pPr>
      <w:r>
        <w:fldChar w:fldCharType="begin"/>
      </w:r>
      <w:r>
        <w:instrText xml:space="preserve"> HYPERLINK \l "_Toc11660" </w:instrText>
      </w:r>
      <w:r>
        <w:fldChar w:fldCharType="separate"/>
      </w:r>
      <w:r>
        <w:rPr>
          <w:rFonts w:hint="eastAsia" w:ascii="宋体" w:hAnsi="宋体" w:cs="宋体"/>
        </w:rPr>
        <w:t>第一部分 投标人须知前附表</w:t>
      </w:r>
      <w:r>
        <w:tab/>
      </w:r>
      <w:r>
        <w:rPr>
          <w:rFonts w:hint="eastAsia"/>
        </w:rPr>
        <w:t>7</w:t>
      </w:r>
      <w:r>
        <w:rPr>
          <w:rFonts w:hint="eastAsia"/>
        </w:rPr>
        <w:fldChar w:fldCharType="end"/>
      </w:r>
    </w:p>
    <w:p w14:paraId="51CBB234">
      <w:pPr>
        <w:pStyle w:val="40"/>
        <w:tabs>
          <w:tab w:val="right" w:leader="dot" w:pos="9185"/>
        </w:tabs>
      </w:pPr>
      <w:r>
        <w:fldChar w:fldCharType="begin"/>
      </w:r>
      <w:r>
        <w:instrText xml:space="preserve"> HYPERLINK \l "_Toc10574" </w:instrText>
      </w:r>
      <w:r>
        <w:fldChar w:fldCharType="separate"/>
      </w:r>
      <w:r>
        <w:rPr>
          <w:rFonts w:hint="eastAsia" w:ascii="宋体" w:hAnsi="宋体" w:cs="宋体"/>
        </w:rPr>
        <w:t>第二部分 投标人须知正文部分</w:t>
      </w:r>
      <w:r>
        <w:tab/>
      </w:r>
      <w:r>
        <w:fldChar w:fldCharType="begin"/>
      </w:r>
      <w:r>
        <w:instrText xml:space="preserve"> PAGEREF _Toc10574 \h </w:instrText>
      </w:r>
      <w:r>
        <w:fldChar w:fldCharType="separate"/>
      </w:r>
      <w:r>
        <w:t>1</w:t>
      </w:r>
      <w:r>
        <w:rPr>
          <w:rFonts w:hint="eastAsia"/>
        </w:rPr>
        <w:t>1</w:t>
      </w:r>
      <w:r>
        <w:fldChar w:fldCharType="end"/>
      </w:r>
      <w:r>
        <w:fldChar w:fldCharType="end"/>
      </w:r>
    </w:p>
    <w:p w14:paraId="0E806583">
      <w:pPr>
        <w:pStyle w:val="40"/>
        <w:tabs>
          <w:tab w:val="right" w:leader="dot" w:pos="9185"/>
        </w:tabs>
      </w:pPr>
      <w:r>
        <w:fldChar w:fldCharType="begin"/>
      </w:r>
      <w:r>
        <w:instrText xml:space="preserve"> HYPERLINK \l "_Toc22406" </w:instrText>
      </w:r>
      <w:r>
        <w:fldChar w:fldCharType="separate"/>
      </w:r>
      <w:r>
        <w:rPr>
          <w:rFonts w:hint="eastAsia"/>
        </w:rPr>
        <w:t>1. 总则</w:t>
      </w:r>
      <w:r>
        <w:tab/>
      </w:r>
      <w:r>
        <w:fldChar w:fldCharType="begin"/>
      </w:r>
      <w:r>
        <w:instrText xml:space="preserve"> PAGEREF _Toc22406 \h </w:instrText>
      </w:r>
      <w:r>
        <w:fldChar w:fldCharType="separate"/>
      </w:r>
      <w:r>
        <w:t>1</w:t>
      </w:r>
      <w:r>
        <w:rPr>
          <w:rFonts w:hint="eastAsia"/>
        </w:rPr>
        <w:t>1</w:t>
      </w:r>
      <w:r>
        <w:fldChar w:fldCharType="end"/>
      </w:r>
      <w:r>
        <w:fldChar w:fldCharType="end"/>
      </w:r>
    </w:p>
    <w:p w14:paraId="6EC3064A">
      <w:pPr>
        <w:pStyle w:val="40"/>
        <w:tabs>
          <w:tab w:val="right" w:leader="dot" w:pos="9185"/>
        </w:tabs>
      </w:pPr>
      <w:r>
        <w:fldChar w:fldCharType="begin"/>
      </w:r>
      <w:r>
        <w:instrText xml:space="preserve"> HYPERLINK \l "_Toc10644" </w:instrText>
      </w:r>
      <w:r>
        <w:fldChar w:fldCharType="separate"/>
      </w:r>
      <w:r>
        <w:rPr>
          <w:rFonts w:hint="eastAsia"/>
        </w:rPr>
        <w:t>1.1 项目概况</w:t>
      </w:r>
      <w:r>
        <w:rPr>
          <w:rFonts w:hint="eastAsia"/>
        </w:rPr>
        <w:tab/>
      </w:r>
      <w:r>
        <w:rPr>
          <w:rFonts w:hint="eastAsia"/>
        </w:rPr>
        <w:fldChar w:fldCharType="begin"/>
      </w:r>
      <w:r>
        <w:rPr>
          <w:rFonts w:hint="eastAsia"/>
        </w:rPr>
        <w:instrText xml:space="preserve"> PAGEREF _Toc10644 \h </w:instrText>
      </w:r>
      <w:r>
        <w:rPr>
          <w:rFonts w:hint="eastAsia"/>
        </w:rPr>
        <w:fldChar w:fldCharType="separate"/>
      </w:r>
      <w:r>
        <w:rPr>
          <w:rFonts w:hint="eastAsia"/>
        </w:rPr>
        <w:t>11</w:t>
      </w:r>
      <w:r>
        <w:rPr>
          <w:rFonts w:hint="eastAsia"/>
        </w:rPr>
        <w:fldChar w:fldCharType="end"/>
      </w:r>
      <w:r>
        <w:rPr>
          <w:rFonts w:hint="eastAsia"/>
        </w:rPr>
        <w:fldChar w:fldCharType="end"/>
      </w:r>
    </w:p>
    <w:p w14:paraId="4AD52B76">
      <w:pPr>
        <w:pStyle w:val="40"/>
        <w:tabs>
          <w:tab w:val="right" w:leader="dot" w:pos="9185"/>
        </w:tabs>
      </w:pPr>
      <w:r>
        <w:fldChar w:fldCharType="begin"/>
      </w:r>
      <w:r>
        <w:instrText xml:space="preserve"> HYPERLINK \l "_Toc6589" </w:instrText>
      </w:r>
      <w:r>
        <w:fldChar w:fldCharType="separate"/>
      </w:r>
      <w:r>
        <w:rPr>
          <w:rFonts w:hint="eastAsia"/>
        </w:rPr>
        <w:t>1.2 资金来源和落实情况</w:t>
      </w:r>
      <w:r>
        <w:rPr>
          <w:rFonts w:hint="eastAsia"/>
        </w:rPr>
        <w:tab/>
      </w:r>
      <w:r>
        <w:rPr>
          <w:rFonts w:hint="eastAsia"/>
        </w:rPr>
        <w:fldChar w:fldCharType="begin"/>
      </w:r>
      <w:r>
        <w:rPr>
          <w:rFonts w:hint="eastAsia"/>
        </w:rPr>
        <w:instrText xml:space="preserve"> PAGEREF _Toc6589 \h </w:instrText>
      </w:r>
      <w:r>
        <w:rPr>
          <w:rFonts w:hint="eastAsia"/>
        </w:rPr>
        <w:fldChar w:fldCharType="separate"/>
      </w:r>
      <w:r>
        <w:rPr>
          <w:rFonts w:hint="eastAsia"/>
        </w:rPr>
        <w:t>11</w:t>
      </w:r>
      <w:r>
        <w:rPr>
          <w:rFonts w:hint="eastAsia"/>
        </w:rPr>
        <w:fldChar w:fldCharType="end"/>
      </w:r>
      <w:r>
        <w:rPr>
          <w:rFonts w:hint="eastAsia"/>
        </w:rPr>
        <w:fldChar w:fldCharType="end"/>
      </w:r>
    </w:p>
    <w:p w14:paraId="6EF11AF7">
      <w:pPr>
        <w:pStyle w:val="40"/>
        <w:tabs>
          <w:tab w:val="right" w:leader="dot" w:pos="9185"/>
        </w:tabs>
      </w:pPr>
      <w:r>
        <w:fldChar w:fldCharType="begin"/>
      </w:r>
      <w:r>
        <w:instrText xml:space="preserve"> HYPERLINK \l "_Toc24823" </w:instrText>
      </w:r>
      <w:r>
        <w:fldChar w:fldCharType="separate"/>
      </w:r>
      <w:r>
        <w:rPr>
          <w:rFonts w:hint="eastAsia"/>
        </w:rPr>
        <w:t>1.3 招标范围、计划工期、质量要求</w:t>
      </w:r>
      <w:r>
        <w:rPr>
          <w:rFonts w:hint="eastAsia"/>
        </w:rPr>
        <w:tab/>
      </w:r>
      <w:r>
        <w:rPr>
          <w:rFonts w:hint="eastAsia"/>
        </w:rPr>
        <w:fldChar w:fldCharType="begin"/>
      </w:r>
      <w:r>
        <w:rPr>
          <w:rFonts w:hint="eastAsia"/>
        </w:rPr>
        <w:instrText xml:space="preserve"> PAGEREF _Toc24823 \h </w:instrText>
      </w:r>
      <w:r>
        <w:rPr>
          <w:rFonts w:hint="eastAsia"/>
        </w:rPr>
        <w:fldChar w:fldCharType="separate"/>
      </w:r>
      <w:r>
        <w:rPr>
          <w:rFonts w:hint="eastAsia"/>
        </w:rPr>
        <w:t>11</w:t>
      </w:r>
      <w:r>
        <w:rPr>
          <w:rFonts w:hint="eastAsia"/>
        </w:rPr>
        <w:fldChar w:fldCharType="end"/>
      </w:r>
      <w:r>
        <w:rPr>
          <w:rFonts w:hint="eastAsia"/>
        </w:rPr>
        <w:fldChar w:fldCharType="end"/>
      </w:r>
    </w:p>
    <w:p w14:paraId="32A4726A">
      <w:pPr>
        <w:pStyle w:val="40"/>
        <w:tabs>
          <w:tab w:val="right" w:leader="dot" w:pos="9185"/>
        </w:tabs>
      </w:pPr>
      <w:r>
        <w:fldChar w:fldCharType="begin"/>
      </w:r>
      <w:r>
        <w:instrText xml:space="preserve"> HYPERLINK \l "_Toc9235" </w:instrText>
      </w:r>
      <w:r>
        <w:fldChar w:fldCharType="separate"/>
      </w:r>
      <w:r>
        <w:rPr>
          <w:rFonts w:hint="eastAsia"/>
        </w:rPr>
        <w:t>1.4 投标人资格要求</w:t>
      </w:r>
      <w:r>
        <w:rPr>
          <w:rFonts w:hint="eastAsia"/>
        </w:rPr>
        <w:tab/>
      </w:r>
      <w:r>
        <w:rPr>
          <w:rFonts w:hint="eastAsia"/>
        </w:rPr>
        <w:fldChar w:fldCharType="begin"/>
      </w:r>
      <w:r>
        <w:rPr>
          <w:rFonts w:hint="eastAsia"/>
        </w:rPr>
        <w:instrText xml:space="preserve"> PAGEREF _Toc9235 \h </w:instrText>
      </w:r>
      <w:r>
        <w:rPr>
          <w:rFonts w:hint="eastAsia"/>
        </w:rPr>
        <w:fldChar w:fldCharType="separate"/>
      </w:r>
      <w:r>
        <w:rPr>
          <w:rFonts w:hint="eastAsia"/>
        </w:rPr>
        <w:t>11</w:t>
      </w:r>
      <w:r>
        <w:rPr>
          <w:rFonts w:hint="eastAsia"/>
        </w:rPr>
        <w:fldChar w:fldCharType="end"/>
      </w:r>
      <w:r>
        <w:rPr>
          <w:rFonts w:hint="eastAsia"/>
        </w:rPr>
        <w:fldChar w:fldCharType="end"/>
      </w:r>
    </w:p>
    <w:p w14:paraId="69C60992">
      <w:pPr>
        <w:pStyle w:val="40"/>
        <w:tabs>
          <w:tab w:val="right" w:leader="dot" w:pos="9185"/>
        </w:tabs>
      </w:pPr>
      <w:r>
        <w:fldChar w:fldCharType="begin"/>
      </w:r>
      <w:r>
        <w:instrText xml:space="preserve"> HYPERLINK \l "_Toc12433" </w:instrText>
      </w:r>
      <w:r>
        <w:fldChar w:fldCharType="separate"/>
      </w:r>
      <w:r>
        <w:rPr>
          <w:rFonts w:hint="eastAsia"/>
        </w:rPr>
        <w:t>1.5 费用承担</w:t>
      </w:r>
      <w:r>
        <w:rPr>
          <w:rFonts w:hint="eastAsia"/>
        </w:rPr>
        <w:tab/>
      </w:r>
      <w:r>
        <w:rPr>
          <w:rFonts w:hint="eastAsia"/>
        </w:rPr>
        <w:fldChar w:fldCharType="begin"/>
      </w:r>
      <w:r>
        <w:rPr>
          <w:rFonts w:hint="eastAsia"/>
        </w:rPr>
        <w:instrText xml:space="preserve"> PAGEREF _Toc12433 \h </w:instrText>
      </w:r>
      <w:r>
        <w:rPr>
          <w:rFonts w:hint="eastAsia"/>
        </w:rPr>
        <w:fldChar w:fldCharType="separate"/>
      </w:r>
      <w:r>
        <w:rPr>
          <w:rFonts w:hint="eastAsia"/>
        </w:rPr>
        <w:t>12</w:t>
      </w:r>
      <w:r>
        <w:rPr>
          <w:rFonts w:hint="eastAsia"/>
        </w:rPr>
        <w:fldChar w:fldCharType="end"/>
      </w:r>
      <w:r>
        <w:rPr>
          <w:rFonts w:hint="eastAsia"/>
        </w:rPr>
        <w:fldChar w:fldCharType="end"/>
      </w:r>
    </w:p>
    <w:p w14:paraId="6D6A27AA">
      <w:pPr>
        <w:pStyle w:val="40"/>
        <w:tabs>
          <w:tab w:val="right" w:leader="dot" w:pos="9185"/>
        </w:tabs>
      </w:pPr>
      <w:r>
        <w:fldChar w:fldCharType="begin"/>
      </w:r>
      <w:r>
        <w:instrText xml:space="preserve"> HYPERLINK \l "_Toc26900" </w:instrText>
      </w:r>
      <w:r>
        <w:fldChar w:fldCharType="separate"/>
      </w:r>
      <w:r>
        <w:rPr>
          <w:rFonts w:hint="eastAsia"/>
        </w:rPr>
        <w:t>1.6 保密</w:t>
      </w:r>
      <w:r>
        <w:rPr>
          <w:rFonts w:hint="eastAsia"/>
        </w:rPr>
        <w:tab/>
      </w:r>
      <w:r>
        <w:rPr>
          <w:rFonts w:hint="eastAsia"/>
        </w:rPr>
        <w:t>12</w:t>
      </w:r>
      <w:r>
        <w:rPr>
          <w:rFonts w:hint="eastAsia"/>
        </w:rPr>
        <w:fldChar w:fldCharType="end"/>
      </w:r>
    </w:p>
    <w:p w14:paraId="1C8087BE">
      <w:pPr>
        <w:pStyle w:val="40"/>
        <w:tabs>
          <w:tab w:val="right" w:leader="dot" w:pos="9185"/>
        </w:tabs>
      </w:pPr>
      <w:r>
        <w:fldChar w:fldCharType="begin"/>
      </w:r>
      <w:r>
        <w:instrText xml:space="preserve"> HYPERLINK \l "_Toc18247" </w:instrText>
      </w:r>
      <w:r>
        <w:fldChar w:fldCharType="separate"/>
      </w:r>
      <w:r>
        <w:rPr>
          <w:rFonts w:hint="eastAsia"/>
        </w:rPr>
        <w:t>1.7 语言文字</w:t>
      </w:r>
      <w:r>
        <w:rPr>
          <w:rFonts w:hint="eastAsia"/>
        </w:rPr>
        <w:tab/>
      </w:r>
      <w:r>
        <w:rPr>
          <w:rFonts w:hint="eastAsia"/>
        </w:rPr>
        <w:fldChar w:fldCharType="begin"/>
      </w:r>
      <w:r>
        <w:rPr>
          <w:rFonts w:hint="eastAsia"/>
        </w:rPr>
        <w:instrText xml:space="preserve"> PAGEREF _Toc18247 \h </w:instrText>
      </w:r>
      <w:r>
        <w:rPr>
          <w:rFonts w:hint="eastAsia"/>
        </w:rPr>
        <w:fldChar w:fldCharType="separate"/>
      </w:r>
      <w:r>
        <w:rPr>
          <w:rFonts w:hint="eastAsia"/>
        </w:rPr>
        <w:t>12</w:t>
      </w:r>
      <w:r>
        <w:rPr>
          <w:rFonts w:hint="eastAsia"/>
        </w:rPr>
        <w:fldChar w:fldCharType="end"/>
      </w:r>
      <w:r>
        <w:rPr>
          <w:rFonts w:hint="eastAsia"/>
        </w:rPr>
        <w:fldChar w:fldCharType="end"/>
      </w:r>
    </w:p>
    <w:p w14:paraId="09E4358E">
      <w:pPr>
        <w:pStyle w:val="40"/>
        <w:tabs>
          <w:tab w:val="right" w:leader="dot" w:pos="9185"/>
        </w:tabs>
      </w:pPr>
      <w:r>
        <w:fldChar w:fldCharType="begin"/>
      </w:r>
      <w:r>
        <w:instrText xml:space="preserve"> HYPERLINK \l "_Toc28783" </w:instrText>
      </w:r>
      <w:r>
        <w:fldChar w:fldCharType="separate"/>
      </w:r>
      <w:r>
        <w:rPr>
          <w:rFonts w:hint="eastAsia"/>
        </w:rPr>
        <w:t>1.8 计量单位</w:t>
      </w:r>
      <w:r>
        <w:rPr>
          <w:rFonts w:hint="eastAsia"/>
        </w:rPr>
        <w:tab/>
      </w:r>
      <w:r>
        <w:rPr>
          <w:rFonts w:hint="eastAsia"/>
        </w:rPr>
        <w:fldChar w:fldCharType="begin"/>
      </w:r>
      <w:r>
        <w:rPr>
          <w:rFonts w:hint="eastAsia"/>
        </w:rPr>
        <w:instrText xml:space="preserve"> PAGEREF _Toc28783 \h </w:instrText>
      </w:r>
      <w:r>
        <w:rPr>
          <w:rFonts w:hint="eastAsia"/>
        </w:rPr>
        <w:fldChar w:fldCharType="separate"/>
      </w:r>
      <w:r>
        <w:rPr>
          <w:rFonts w:hint="eastAsia"/>
        </w:rPr>
        <w:t>12</w:t>
      </w:r>
      <w:r>
        <w:rPr>
          <w:rFonts w:hint="eastAsia"/>
        </w:rPr>
        <w:fldChar w:fldCharType="end"/>
      </w:r>
      <w:r>
        <w:rPr>
          <w:rFonts w:hint="eastAsia"/>
        </w:rPr>
        <w:fldChar w:fldCharType="end"/>
      </w:r>
    </w:p>
    <w:p w14:paraId="12E73E8A">
      <w:pPr>
        <w:pStyle w:val="40"/>
        <w:tabs>
          <w:tab w:val="right" w:leader="dot" w:pos="9185"/>
        </w:tabs>
      </w:pPr>
      <w:r>
        <w:fldChar w:fldCharType="begin"/>
      </w:r>
      <w:r>
        <w:instrText xml:space="preserve"> HYPERLINK \l "_Toc22751" </w:instrText>
      </w:r>
      <w:r>
        <w:fldChar w:fldCharType="separate"/>
      </w:r>
      <w:r>
        <w:rPr>
          <w:rFonts w:hint="eastAsia"/>
        </w:rPr>
        <w:t>1.9 踏勘现场</w:t>
      </w:r>
      <w:r>
        <w:rPr>
          <w:rFonts w:hint="eastAsia"/>
        </w:rPr>
        <w:tab/>
      </w:r>
      <w:r>
        <w:rPr>
          <w:rFonts w:hint="eastAsia"/>
        </w:rPr>
        <w:fldChar w:fldCharType="begin"/>
      </w:r>
      <w:r>
        <w:rPr>
          <w:rFonts w:hint="eastAsia"/>
        </w:rPr>
        <w:instrText xml:space="preserve"> PAGEREF _Toc22751 \h </w:instrText>
      </w:r>
      <w:r>
        <w:rPr>
          <w:rFonts w:hint="eastAsia"/>
        </w:rPr>
        <w:fldChar w:fldCharType="separate"/>
      </w:r>
      <w:r>
        <w:rPr>
          <w:rFonts w:hint="eastAsia"/>
        </w:rPr>
        <w:t>13</w:t>
      </w:r>
      <w:r>
        <w:rPr>
          <w:rFonts w:hint="eastAsia"/>
        </w:rPr>
        <w:fldChar w:fldCharType="end"/>
      </w:r>
      <w:r>
        <w:rPr>
          <w:rFonts w:hint="eastAsia"/>
        </w:rPr>
        <w:fldChar w:fldCharType="end"/>
      </w:r>
    </w:p>
    <w:p w14:paraId="4C56DF37">
      <w:pPr>
        <w:pStyle w:val="40"/>
        <w:tabs>
          <w:tab w:val="right" w:leader="dot" w:pos="9185"/>
        </w:tabs>
      </w:pPr>
      <w:r>
        <w:fldChar w:fldCharType="begin"/>
      </w:r>
      <w:r>
        <w:instrText xml:space="preserve"> HYPERLINK \l "_Toc9795" </w:instrText>
      </w:r>
      <w:r>
        <w:fldChar w:fldCharType="separate"/>
      </w:r>
      <w:r>
        <w:rPr>
          <w:rFonts w:hint="eastAsia"/>
        </w:rPr>
        <w:t>1.10 投标预备会</w:t>
      </w:r>
      <w:r>
        <w:rPr>
          <w:rFonts w:hint="eastAsia"/>
        </w:rPr>
        <w:tab/>
      </w:r>
      <w:r>
        <w:rPr>
          <w:rFonts w:hint="eastAsia"/>
        </w:rPr>
        <w:fldChar w:fldCharType="begin"/>
      </w:r>
      <w:r>
        <w:rPr>
          <w:rFonts w:hint="eastAsia"/>
        </w:rPr>
        <w:instrText xml:space="preserve"> PAGEREF _Toc9795 \h </w:instrText>
      </w:r>
      <w:r>
        <w:rPr>
          <w:rFonts w:hint="eastAsia"/>
        </w:rPr>
        <w:fldChar w:fldCharType="separate"/>
      </w:r>
      <w:r>
        <w:rPr>
          <w:rFonts w:hint="eastAsia"/>
        </w:rPr>
        <w:t>13</w:t>
      </w:r>
      <w:r>
        <w:rPr>
          <w:rFonts w:hint="eastAsia"/>
        </w:rPr>
        <w:fldChar w:fldCharType="end"/>
      </w:r>
      <w:r>
        <w:rPr>
          <w:rFonts w:hint="eastAsia"/>
        </w:rPr>
        <w:fldChar w:fldCharType="end"/>
      </w:r>
    </w:p>
    <w:p w14:paraId="3BBE2BD4">
      <w:pPr>
        <w:pStyle w:val="40"/>
        <w:tabs>
          <w:tab w:val="right" w:leader="dot" w:pos="9185"/>
        </w:tabs>
      </w:pPr>
      <w:r>
        <w:fldChar w:fldCharType="begin"/>
      </w:r>
      <w:r>
        <w:instrText xml:space="preserve"> HYPERLINK \l "_Toc21167" </w:instrText>
      </w:r>
      <w:r>
        <w:fldChar w:fldCharType="separate"/>
      </w:r>
      <w:r>
        <w:rPr>
          <w:rFonts w:hint="eastAsia"/>
        </w:rPr>
        <w:t>1.11 偏离</w:t>
      </w:r>
      <w:r>
        <w:rPr>
          <w:rFonts w:hint="eastAsia"/>
        </w:rPr>
        <w:tab/>
      </w:r>
      <w:r>
        <w:rPr>
          <w:rFonts w:hint="eastAsia"/>
        </w:rPr>
        <w:fldChar w:fldCharType="begin"/>
      </w:r>
      <w:r>
        <w:rPr>
          <w:rFonts w:hint="eastAsia"/>
        </w:rPr>
        <w:instrText xml:space="preserve"> PAGEREF _Toc21167 \h </w:instrText>
      </w:r>
      <w:r>
        <w:rPr>
          <w:rFonts w:hint="eastAsia"/>
        </w:rPr>
        <w:fldChar w:fldCharType="separate"/>
      </w:r>
      <w:r>
        <w:rPr>
          <w:rFonts w:hint="eastAsia"/>
        </w:rPr>
        <w:t>13</w:t>
      </w:r>
      <w:r>
        <w:rPr>
          <w:rFonts w:hint="eastAsia"/>
        </w:rPr>
        <w:fldChar w:fldCharType="end"/>
      </w:r>
      <w:r>
        <w:rPr>
          <w:rFonts w:hint="eastAsia"/>
        </w:rPr>
        <w:fldChar w:fldCharType="end"/>
      </w:r>
    </w:p>
    <w:p w14:paraId="09A43E9C">
      <w:pPr>
        <w:pStyle w:val="40"/>
        <w:tabs>
          <w:tab w:val="right" w:leader="dot" w:pos="9185"/>
        </w:tabs>
      </w:pPr>
      <w:r>
        <w:fldChar w:fldCharType="begin"/>
      </w:r>
      <w:r>
        <w:instrText xml:space="preserve"> HYPERLINK \l "_Toc21906" </w:instrText>
      </w:r>
      <w:r>
        <w:fldChar w:fldCharType="separate"/>
      </w:r>
      <w:r>
        <w:rPr>
          <w:rFonts w:hint="eastAsia"/>
        </w:rPr>
        <w:t>1.12知识产权声明</w:t>
      </w:r>
      <w:r>
        <w:rPr>
          <w:rFonts w:hint="eastAsia"/>
        </w:rPr>
        <w:tab/>
      </w:r>
      <w:r>
        <w:rPr>
          <w:rFonts w:hint="eastAsia"/>
        </w:rPr>
        <w:fldChar w:fldCharType="begin"/>
      </w:r>
      <w:r>
        <w:rPr>
          <w:rFonts w:hint="eastAsia"/>
        </w:rPr>
        <w:instrText xml:space="preserve"> PAGEREF _Toc21906 \h </w:instrText>
      </w:r>
      <w:r>
        <w:rPr>
          <w:rFonts w:hint="eastAsia"/>
        </w:rPr>
        <w:fldChar w:fldCharType="separate"/>
      </w:r>
      <w:r>
        <w:rPr>
          <w:rFonts w:hint="eastAsia"/>
        </w:rPr>
        <w:t>13</w:t>
      </w:r>
      <w:r>
        <w:rPr>
          <w:rFonts w:hint="eastAsia"/>
        </w:rPr>
        <w:fldChar w:fldCharType="end"/>
      </w:r>
      <w:r>
        <w:rPr>
          <w:rFonts w:hint="eastAsia"/>
        </w:rPr>
        <w:fldChar w:fldCharType="end"/>
      </w:r>
    </w:p>
    <w:p w14:paraId="7D028AEF">
      <w:pPr>
        <w:pStyle w:val="40"/>
        <w:tabs>
          <w:tab w:val="right" w:leader="dot" w:pos="9185"/>
        </w:tabs>
      </w:pPr>
      <w:r>
        <w:fldChar w:fldCharType="begin"/>
      </w:r>
      <w:r>
        <w:instrText xml:space="preserve"> HYPERLINK \l "_Toc8870" </w:instrText>
      </w:r>
      <w:r>
        <w:fldChar w:fldCharType="separate"/>
      </w:r>
      <w:r>
        <w:rPr>
          <w:rFonts w:hint="eastAsia"/>
        </w:rPr>
        <w:t>2. 招标文件</w:t>
      </w:r>
      <w:r>
        <w:rPr>
          <w:rFonts w:hint="eastAsia"/>
        </w:rPr>
        <w:tab/>
      </w:r>
      <w:r>
        <w:rPr>
          <w:rFonts w:hint="eastAsia"/>
        </w:rPr>
        <w:fldChar w:fldCharType="begin"/>
      </w:r>
      <w:r>
        <w:rPr>
          <w:rFonts w:hint="eastAsia"/>
        </w:rPr>
        <w:instrText xml:space="preserve"> PAGEREF _Toc8870 \h </w:instrText>
      </w:r>
      <w:r>
        <w:rPr>
          <w:rFonts w:hint="eastAsia"/>
        </w:rPr>
        <w:fldChar w:fldCharType="separate"/>
      </w:r>
      <w:r>
        <w:rPr>
          <w:rFonts w:hint="eastAsia"/>
        </w:rPr>
        <w:t>13</w:t>
      </w:r>
      <w:r>
        <w:rPr>
          <w:rFonts w:hint="eastAsia"/>
        </w:rPr>
        <w:fldChar w:fldCharType="end"/>
      </w:r>
      <w:r>
        <w:rPr>
          <w:rFonts w:hint="eastAsia"/>
        </w:rPr>
        <w:fldChar w:fldCharType="end"/>
      </w:r>
    </w:p>
    <w:p w14:paraId="6598EFBA">
      <w:pPr>
        <w:pStyle w:val="40"/>
        <w:tabs>
          <w:tab w:val="right" w:leader="dot" w:pos="9185"/>
        </w:tabs>
      </w:pPr>
      <w:r>
        <w:fldChar w:fldCharType="begin"/>
      </w:r>
      <w:r>
        <w:instrText xml:space="preserve"> HYPERLINK \l "_Toc12192" </w:instrText>
      </w:r>
      <w:r>
        <w:fldChar w:fldCharType="separate"/>
      </w:r>
      <w:r>
        <w:rPr>
          <w:rFonts w:hint="eastAsia"/>
        </w:rPr>
        <w:t>2.1 招标文件的组成</w:t>
      </w:r>
      <w:r>
        <w:rPr>
          <w:rFonts w:hint="eastAsia"/>
        </w:rPr>
        <w:tab/>
      </w:r>
      <w:r>
        <w:rPr>
          <w:rFonts w:hint="eastAsia"/>
        </w:rPr>
        <w:fldChar w:fldCharType="begin"/>
      </w:r>
      <w:r>
        <w:rPr>
          <w:rFonts w:hint="eastAsia"/>
        </w:rPr>
        <w:instrText xml:space="preserve"> PAGEREF _Toc12192 \h </w:instrText>
      </w:r>
      <w:r>
        <w:rPr>
          <w:rFonts w:hint="eastAsia"/>
        </w:rPr>
        <w:fldChar w:fldCharType="separate"/>
      </w:r>
      <w:r>
        <w:rPr>
          <w:rFonts w:hint="eastAsia"/>
        </w:rPr>
        <w:t>13</w:t>
      </w:r>
      <w:r>
        <w:rPr>
          <w:rFonts w:hint="eastAsia"/>
        </w:rPr>
        <w:fldChar w:fldCharType="end"/>
      </w:r>
      <w:r>
        <w:rPr>
          <w:rFonts w:hint="eastAsia"/>
        </w:rPr>
        <w:fldChar w:fldCharType="end"/>
      </w:r>
    </w:p>
    <w:p w14:paraId="3731AAFB">
      <w:pPr>
        <w:pStyle w:val="40"/>
        <w:tabs>
          <w:tab w:val="right" w:leader="dot" w:pos="9185"/>
        </w:tabs>
      </w:pPr>
      <w:r>
        <w:fldChar w:fldCharType="begin"/>
      </w:r>
      <w:r>
        <w:instrText xml:space="preserve"> HYPERLINK \l "_Toc3012" </w:instrText>
      </w:r>
      <w:r>
        <w:fldChar w:fldCharType="separate"/>
      </w:r>
      <w:r>
        <w:rPr>
          <w:rFonts w:hint="eastAsia"/>
        </w:rPr>
        <w:t>2.2招标文件的解释与澄清</w:t>
      </w:r>
      <w:r>
        <w:rPr>
          <w:rFonts w:hint="eastAsia"/>
        </w:rPr>
        <w:tab/>
      </w:r>
      <w:r>
        <w:rPr>
          <w:rFonts w:hint="eastAsia"/>
        </w:rPr>
        <w:fldChar w:fldCharType="begin"/>
      </w:r>
      <w:r>
        <w:rPr>
          <w:rFonts w:hint="eastAsia"/>
        </w:rPr>
        <w:instrText xml:space="preserve"> PAGEREF _Toc3012 \h </w:instrText>
      </w:r>
      <w:r>
        <w:rPr>
          <w:rFonts w:hint="eastAsia"/>
        </w:rPr>
        <w:fldChar w:fldCharType="separate"/>
      </w:r>
      <w:r>
        <w:rPr>
          <w:rFonts w:hint="eastAsia"/>
        </w:rPr>
        <w:t>14</w:t>
      </w:r>
      <w:r>
        <w:rPr>
          <w:rFonts w:hint="eastAsia"/>
        </w:rPr>
        <w:fldChar w:fldCharType="end"/>
      </w:r>
      <w:r>
        <w:rPr>
          <w:rFonts w:hint="eastAsia"/>
        </w:rPr>
        <w:fldChar w:fldCharType="end"/>
      </w:r>
    </w:p>
    <w:p w14:paraId="0779350E">
      <w:pPr>
        <w:pStyle w:val="40"/>
        <w:tabs>
          <w:tab w:val="right" w:leader="dot" w:pos="9185"/>
        </w:tabs>
      </w:pPr>
      <w:r>
        <w:fldChar w:fldCharType="begin"/>
      </w:r>
      <w:r>
        <w:instrText xml:space="preserve"> HYPERLINK \l "_Toc3853" </w:instrText>
      </w:r>
      <w:r>
        <w:fldChar w:fldCharType="separate"/>
      </w:r>
      <w:r>
        <w:rPr>
          <w:rFonts w:hint="eastAsia"/>
        </w:rPr>
        <w:t>2.3招标文件的修改</w:t>
      </w:r>
      <w:r>
        <w:rPr>
          <w:rFonts w:hint="eastAsia"/>
        </w:rPr>
        <w:tab/>
      </w:r>
      <w:r>
        <w:rPr>
          <w:rFonts w:hint="eastAsia"/>
        </w:rPr>
        <w:fldChar w:fldCharType="begin"/>
      </w:r>
      <w:r>
        <w:rPr>
          <w:rFonts w:hint="eastAsia"/>
        </w:rPr>
        <w:instrText xml:space="preserve"> PAGEREF _Toc3853 \h </w:instrText>
      </w:r>
      <w:r>
        <w:rPr>
          <w:rFonts w:hint="eastAsia"/>
        </w:rPr>
        <w:fldChar w:fldCharType="separate"/>
      </w:r>
      <w:r>
        <w:rPr>
          <w:rFonts w:hint="eastAsia"/>
        </w:rPr>
        <w:t>14</w:t>
      </w:r>
      <w:r>
        <w:rPr>
          <w:rFonts w:hint="eastAsia"/>
        </w:rPr>
        <w:fldChar w:fldCharType="end"/>
      </w:r>
      <w:r>
        <w:rPr>
          <w:rFonts w:hint="eastAsia"/>
        </w:rPr>
        <w:fldChar w:fldCharType="end"/>
      </w:r>
    </w:p>
    <w:p w14:paraId="4FF513B5">
      <w:pPr>
        <w:pStyle w:val="40"/>
        <w:tabs>
          <w:tab w:val="right" w:leader="dot" w:pos="9185"/>
        </w:tabs>
      </w:pPr>
      <w:r>
        <w:fldChar w:fldCharType="begin"/>
      </w:r>
      <w:r>
        <w:instrText xml:space="preserve"> HYPERLINK \l "_Toc6980" </w:instrText>
      </w:r>
      <w:r>
        <w:fldChar w:fldCharType="separate"/>
      </w:r>
      <w:r>
        <w:rPr>
          <w:rFonts w:hint="eastAsia"/>
        </w:rPr>
        <w:t>3. 投标文件</w:t>
      </w:r>
      <w:r>
        <w:rPr>
          <w:rFonts w:hint="eastAsia"/>
        </w:rPr>
        <w:tab/>
      </w:r>
      <w:r>
        <w:rPr>
          <w:rFonts w:hint="eastAsia"/>
        </w:rPr>
        <w:fldChar w:fldCharType="begin"/>
      </w:r>
      <w:r>
        <w:rPr>
          <w:rFonts w:hint="eastAsia"/>
        </w:rPr>
        <w:instrText xml:space="preserve"> PAGEREF _Toc6980 \h </w:instrText>
      </w:r>
      <w:r>
        <w:rPr>
          <w:rFonts w:hint="eastAsia"/>
        </w:rPr>
        <w:fldChar w:fldCharType="separate"/>
      </w:r>
      <w:r>
        <w:rPr>
          <w:rFonts w:hint="eastAsia"/>
        </w:rPr>
        <w:t>15</w:t>
      </w:r>
      <w:r>
        <w:rPr>
          <w:rFonts w:hint="eastAsia"/>
        </w:rPr>
        <w:fldChar w:fldCharType="end"/>
      </w:r>
      <w:r>
        <w:rPr>
          <w:rFonts w:hint="eastAsia"/>
        </w:rPr>
        <w:fldChar w:fldCharType="end"/>
      </w:r>
    </w:p>
    <w:p w14:paraId="0801D462">
      <w:pPr>
        <w:pStyle w:val="40"/>
        <w:tabs>
          <w:tab w:val="right" w:leader="dot" w:pos="9185"/>
        </w:tabs>
      </w:pPr>
      <w:r>
        <w:fldChar w:fldCharType="begin"/>
      </w:r>
      <w:r>
        <w:instrText xml:space="preserve"> HYPERLINK \l "_Toc23777" </w:instrText>
      </w:r>
      <w:r>
        <w:fldChar w:fldCharType="separate"/>
      </w:r>
      <w:r>
        <w:rPr>
          <w:rFonts w:hint="eastAsia"/>
        </w:rPr>
        <w:t>3.1投标文件的编制要求</w:t>
      </w:r>
      <w:r>
        <w:rPr>
          <w:rFonts w:hint="eastAsia"/>
        </w:rPr>
        <w:tab/>
      </w:r>
      <w:r>
        <w:rPr>
          <w:rFonts w:hint="eastAsia"/>
        </w:rPr>
        <w:fldChar w:fldCharType="begin"/>
      </w:r>
      <w:r>
        <w:rPr>
          <w:rFonts w:hint="eastAsia"/>
        </w:rPr>
        <w:instrText xml:space="preserve"> PAGEREF _Toc23777 \h </w:instrText>
      </w:r>
      <w:r>
        <w:rPr>
          <w:rFonts w:hint="eastAsia"/>
        </w:rPr>
        <w:fldChar w:fldCharType="separate"/>
      </w:r>
      <w:r>
        <w:rPr>
          <w:rFonts w:hint="eastAsia"/>
        </w:rPr>
        <w:t>15</w:t>
      </w:r>
      <w:r>
        <w:rPr>
          <w:rFonts w:hint="eastAsia"/>
        </w:rPr>
        <w:fldChar w:fldCharType="end"/>
      </w:r>
      <w:r>
        <w:rPr>
          <w:rFonts w:hint="eastAsia"/>
        </w:rPr>
        <w:fldChar w:fldCharType="end"/>
      </w:r>
    </w:p>
    <w:p w14:paraId="493D6DF8">
      <w:pPr>
        <w:pStyle w:val="40"/>
        <w:tabs>
          <w:tab w:val="right" w:leader="dot" w:pos="9185"/>
        </w:tabs>
        <w:rPr>
          <w:rFonts w:hint="eastAsia" w:ascii="宋体" w:hAnsi="宋体" w:cs="宋体"/>
        </w:rPr>
      </w:pPr>
      <w:r>
        <w:fldChar w:fldCharType="begin"/>
      </w:r>
      <w:r>
        <w:instrText xml:space="preserve"> HYPERLINK \l "_Toc11252" </w:instrText>
      </w:r>
      <w:r>
        <w:fldChar w:fldCharType="separate"/>
      </w:r>
      <w:r>
        <w:rPr>
          <w:rFonts w:hint="eastAsia"/>
        </w:rPr>
        <w:t>3.2 投标文件的语言及度量衡单位</w:t>
      </w:r>
      <w:r>
        <w:rPr>
          <w:rFonts w:hint="eastAsia"/>
        </w:rPr>
        <w:tab/>
      </w:r>
      <w:r>
        <w:rPr>
          <w:rFonts w:hint="eastAsia"/>
        </w:rPr>
        <w:fldChar w:fldCharType="begin"/>
      </w:r>
      <w:r>
        <w:rPr>
          <w:rFonts w:hint="eastAsia"/>
        </w:rPr>
        <w:instrText xml:space="preserve"> PAGEREF _Toc11252 \h </w:instrText>
      </w:r>
      <w:r>
        <w:rPr>
          <w:rFonts w:hint="eastAsia"/>
        </w:rPr>
        <w:fldChar w:fldCharType="separate"/>
      </w:r>
      <w:r>
        <w:rPr>
          <w:rFonts w:hint="eastAsia"/>
        </w:rPr>
        <w:t>15</w:t>
      </w:r>
      <w:r>
        <w:rPr>
          <w:rFonts w:hint="eastAsia"/>
        </w:rPr>
        <w:fldChar w:fldCharType="end"/>
      </w:r>
      <w:r>
        <w:rPr>
          <w:rFonts w:hint="eastAsia"/>
        </w:rPr>
        <w:fldChar w:fldCharType="end"/>
      </w:r>
    </w:p>
    <w:p w14:paraId="54B0B00A">
      <w:pPr>
        <w:pStyle w:val="40"/>
        <w:tabs>
          <w:tab w:val="right" w:leader="dot" w:pos="9185"/>
        </w:tabs>
      </w:pPr>
      <w:r>
        <w:fldChar w:fldCharType="begin"/>
      </w:r>
      <w:r>
        <w:instrText xml:space="preserve"> HYPERLINK \l "_Toc28396" </w:instrText>
      </w:r>
      <w:r>
        <w:fldChar w:fldCharType="separate"/>
      </w:r>
      <w:r>
        <w:rPr>
          <w:rFonts w:hint="eastAsia"/>
        </w:rPr>
        <w:t>3.3投标文件的组成</w:t>
      </w:r>
      <w:r>
        <w:rPr>
          <w:rFonts w:hint="eastAsia"/>
        </w:rPr>
        <w:tab/>
      </w:r>
      <w:r>
        <w:rPr>
          <w:rFonts w:hint="eastAsia"/>
        </w:rPr>
        <w:fldChar w:fldCharType="begin"/>
      </w:r>
      <w:r>
        <w:rPr>
          <w:rFonts w:hint="eastAsia"/>
        </w:rPr>
        <w:instrText xml:space="preserve"> PAGEREF _Toc28396 \h </w:instrText>
      </w:r>
      <w:r>
        <w:rPr>
          <w:rFonts w:hint="eastAsia"/>
        </w:rPr>
        <w:fldChar w:fldCharType="separate"/>
      </w:r>
      <w:r>
        <w:rPr>
          <w:rFonts w:hint="eastAsia"/>
        </w:rPr>
        <w:t>15</w:t>
      </w:r>
      <w:r>
        <w:rPr>
          <w:rFonts w:hint="eastAsia"/>
        </w:rPr>
        <w:fldChar w:fldCharType="end"/>
      </w:r>
      <w:r>
        <w:rPr>
          <w:rFonts w:hint="eastAsia"/>
        </w:rPr>
        <w:fldChar w:fldCharType="end"/>
      </w:r>
    </w:p>
    <w:p w14:paraId="195E4D85">
      <w:pPr>
        <w:pStyle w:val="40"/>
        <w:tabs>
          <w:tab w:val="right" w:leader="dot" w:pos="9185"/>
        </w:tabs>
      </w:pPr>
      <w:r>
        <w:fldChar w:fldCharType="begin"/>
      </w:r>
      <w:r>
        <w:instrText xml:space="preserve"> HYPERLINK \l "_Toc4510" </w:instrText>
      </w:r>
      <w:r>
        <w:fldChar w:fldCharType="separate"/>
      </w:r>
      <w:r>
        <w:rPr>
          <w:rFonts w:hint="eastAsia"/>
        </w:rPr>
        <w:t>3.4 投标文件格式</w:t>
      </w:r>
      <w:r>
        <w:rPr>
          <w:rFonts w:hint="eastAsia"/>
        </w:rPr>
        <w:tab/>
      </w:r>
      <w:r>
        <w:rPr>
          <w:rFonts w:hint="eastAsia"/>
        </w:rPr>
        <w:fldChar w:fldCharType="begin"/>
      </w:r>
      <w:r>
        <w:rPr>
          <w:rFonts w:hint="eastAsia"/>
        </w:rPr>
        <w:instrText xml:space="preserve"> PAGEREF _Toc4510 \h </w:instrText>
      </w:r>
      <w:r>
        <w:rPr>
          <w:rFonts w:hint="eastAsia"/>
        </w:rPr>
        <w:fldChar w:fldCharType="separate"/>
      </w:r>
      <w:r>
        <w:rPr>
          <w:rFonts w:hint="eastAsia"/>
        </w:rPr>
        <w:t>15</w:t>
      </w:r>
      <w:r>
        <w:rPr>
          <w:rFonts w:hint="eastAsia"/>
        </w:rPr>
        <w:fldChar w:fldCharType="end"/>
      </w:r>
      <w:r>
        <w:rPr>
          <w:rFonts w:hint="eastAsia"/>
        </w:rPr>
        <w:fldChar w:fldCharType="end"/>
      </w:r>
    </w:p>
    <w:p w14:paraId="51D0B1A5">
      <w:pPr>
        <w:pStyle w:val="40"/>
        <w:tabs>
          <w:tab w:val="right" w:leader="dot" w:pos="9185"/>
        </w:tabs>
      </w:pPr>
      <w:r>
        <w:fldChar w:fldCharType="begin"/>
      </w:r>
      <w:r>
        <w:instrText xml:space="preserve"> HYPERLINK \l "_Toc12835" </w:instrText>
      </w:r>
      <w:r>
        <w:fldChar w:fldCharType="separate"/>
      </w:r>
      <w:r>
        <w:rPr>
          <w:rFonts w:hint="eastAsia"/>
        </w:rPr>
        <w:t>3.5.投标货币</w:t>
      </w:r>
      <w:r>
        <w:rPr>
          <w:rFonts w:hint="eastAsia"/>
        </w:rPr>
        <w:tab/>
      </w:r>
      <w:r>
        <w:rPr>
          <w:rFonts w:hint="eastAsia"/>
        </w:rPr>
        <w:fldChar w:fldCharType="begin"/>
      </w:r>
      <w:r>
        <w:rPr>
          <w:rFonts w:hint="eastAsia"/>
        </w:rPr>
        <w:instrText xml:space="preserve"> PAGEREF _Toc12835 \h </w:instrText>
      </w:r>
      <w:r>
        <w:rPr>
          <w:rFonts w:hint="eastAsia"/>
        </w:rPr>
        <w:fldChar w:fldCharType="separate"/>
      </w:r>
      <w:r>
        <w:rPr>
          <w:rFonts w:hint="eastAsia"/>
        </w:rPr>
        <w:t>15</w:t>
      </w:r>
      <w:r>
        <w:rPr>
          <w:rFonts w:hint="eastAsia"/>
        </w:rPr>
        <w:fldChar w:fldCharType="end"/>
      </w:r>
      <w:r>
        <w:rPr>
          <w:rFonts w:hint="eastAsia"/>
        </w:rPr>
        <w:fldChar w:fldCharType="end"/>
      </w:r>
    </w:p>
    <w:p w14:paraId="4E3BE7F9">
      <w:pPr>
        <w:pStyle w:val="40"/>
        <w:tabs>
          <w:tab w:val="right" w:leader="dot" w:pos="9185"/>
        </w:tabs>
      </w:pPr>
      <w:r>
        <w:fldChar w:fldCharType="begin"/>
      </w:r>
      <w:r>
        <w:instrText xml:space="preserve"> HYPERLINK \l "_Toc5233" </w:instrText>
      </w:r>
      <w:r>
        <w:fldChar w:fldCharType="separate"/>
      </w:r>
      <w:r>
        <w:rPr>
          <w:rFonts w:hint="eastAsia"/>
        </w:rPr>
        <w:t>3.6.投标有效期</w:t>
      </w:r>
      <w:r>
        <w:rPr>
          <w:rFonts w:hint="eastAsia"/>
        </w:rPr>
        <w:tab/>
      </w:r>
      <w:r>
        <w:rPr>
          <w:rFonts w:hint="eastAsia"/>
        </w:rPr>
        <w:fldChar w:fldCharType="begin"/>
      </w:r>
      <w:r>
        <w:rPr>
          <w:rFonts w:hint="eastAsia"/>
        </w:rPr>
        <w:instrText xml:space="preserve"> PAGEREF _Toc5233 \h </w:instrText>
      </w:r>
      <w:r>
        <w:rPr>
          <w:rFonts w:hint="eastAsia"/>
        </w:rPr>
        <w:fldChar w:fldCharType="separate"/>
      </w:r>
      <w:r>
        <w:rPr>
          <w:rFonts w:hint="eastAsia"/>
        </w:rPr>
        <w:t>15</w:t>
      </w:r>
      <w:r>
        <w:rPr>
          <w:rFonts w:hint="eastAsia"/>
        </w:rPr>
        <w:fldChar w:fldCharType="end"/>
      </w:r>
      <w:r>
        <w:rPr>
          <w:rFonts w:hint="eastAsia"/>
        </w:rPr>
        <w:fldChar w:fldCharType="end"/>
      </w:r>
    </w:p>
    <w:p w14:paraId="6B3F1DE9">
      <w:pPr>
        <w:pStyle w:val="40"/>
        <w:tabs>
          <w:tab w:val="right" w:leader="dot" w:pos="9185"/>
        </w:tabs>
      </w:pPr>
      <w:r>
        <w:fldChar w:fldCharType="begin"/>
      </w:r>
      <w:r>
        <w:instrText xml:space="preserve"> HYPERLINK \l "_Toc18656" </w:instrText>
      </w:r>
      <w:r>
        <w:fldChar w:fldCharType="separate"/>
      </w:r>
      <w:r>
        <w:rPr>
          <w:rFonts w:hint="eastAsia"/>
        </w:rPr>
        <w:t>4.投标文件的提交</w:t>
      </w:r>
      <w:r>
        <w:rPr>
          <w:rFonts w:hint="eastAsia"/>
        </w:rPr>
        <w:tab/>
      </w:r>
      <w:r>
        <w:rPr>
          <w:rFonts w:hint="eastAsia"/>
        </w:rPr>
        <w:fldChar w:fldCharType="begin"/>
      </w:r>
      <w:r>
        <w:rPr>
          <w:rFonts w:hint="eastAsia"/>
        </w:rPr>
        <w:instrText xml:space="preserve"> PAGEREF _Toc18656 \h </w:instrText>
      </w:r>
      <w:r>
        <w:rPr>
          <w:rFonts w:hint="eastAsia"/>
        </w:rPr>
        <w:fldChar w:fldCharType="separate"/>
      </w:r>
      <w:r>
        <w:rPr>
          <w:rFonts w:hint="eastAsia"/>
        </w:rPr>
        <w:t>16</w:t>
      </w:r>
      <w:r>
        <w:rPr>
          <w:rFonts w:hint="eastAsia"/>
        </w:rPr>
        <w:fldChar w:fldCharType="end"/>
      </w:r>
      <w:r>
        <w:rPr>
          <w:rFonts w:hint="eastAsia"/>
        </w:rPr>
        <w:fldChar w:fldCharType="end"/>
      </w:r>
    </w:p>
    <w:p w14:paraId="6F6B6768">
      <w:pPr>
        <w:pStyle w:val="40"/>
        <w:tabs>
          <w:tab w:val="right" w:leader="dot" w:pos="9185"/>
        </w:tabs>
      </w:pPr>
      <w:r>
        <w:fldChar w:fldCharType="begin"/>
      </w:r>
      <w:r>
        <w:instrText xml:space="preserve"> HYPERLINK \l "_Toc25784" </w:instrText>
      </w:r>
      <w:r>
        <w:fldChar w:fldCharType="separate"/>
      </w:r>
      <w:r>
        <w:rPr>
          <w:rFonts w:hint="eastAsia"/>
        </w:rPr>
        <w:t>4.1投标文件的密封和标记</w:t>
      </w:r>
      <w:r>
        <w:rPr>
          <w:rFonts w:hint="eastAsia"/>
        </w:rPr>
        <w:tab/>
      </w:r>
      <w:r>
        <w:rPr>
          <w:rFonts w:hint="eastAsia"/>
        </w:rPr>
        <w:fldChar w:fldCharType="begin"/>
      </w:r>
      <w:r>
        <w:rPr>
          <w:rFonts w:hint="eastAsia"/>
        </w:rPr>
        <w:instrText xml:space="preserve"> PAGEREF _Toc25784 \h </w:instrText>
      </w:r>
      <w:r>
        <w:rPr>
          <w:rFonts w:hint="eastAsia"/>
        </w:rPr>
        <w:fldChar w:fldCharType="separate"/>
      </w:r>
      <w:r>
        <w:rPr>
          <w:rFonts w:hint="eastAsia"/>
        </w:rPr>
        <w:t>16</w:t>
      </w:r>
      <w:r>
        <w:rPr>
          <w:rFonts w:hint="eastAsia"/>
        </w:rPr>
        <w:fldChar w:fldCharType="end"/>
      </w:r>
      <w:r>
        <w:rPr>
          <w:rFonts w:hint="eastAsia"/>
        </w:rPr>
        <w:fldChar w:fldCharType="end"/>
      </w:r>
    </w:p>
    <w:p w14:paraId="066AF30D">
      <w:pPr>
        <w:pStyle w:val="40"/>
        <w:tabs>
          <w:tab w:val="right" w:leader="dot" w:pos="9185"/>
        </w:tabs>
      </w:pPr>
      <w:r>
        <w:fldChar w:fldCharType="begin"/>
      </w:r>
      <w:r>
        <w:instrText xml:space="preserve"> HYPERLINK \l "_Toc17458" </w:instrText>
      </w:r>
      <w:r>
        <w:fldChar w:fldCharType="separate"/>
      </w:r>
      <w:r>
        <w:rPr>
          <w:rFonts w:hint="eastAsia"/>
        </w:rPr>
        <w:t>4.2 投标文件的提交</w:t>
      </w:r>
      <w:r>
        <w:rPr>
          <w:rFonts w:hint="eastAsia"/>
        </w:rPr>
        <w:tab/>
      </w:r>
      <w:r>
        <w:rPr>
          <w:rFonts w:hint="eastAsia"/>
        </w:rPr>
        <w:fldChar w:fldCharType="begin"/>
      </w:r>
      <w:r>
        <w:rPr>
          <w:rFonts w:hint="eastAsia"/>
        </w:rPr>
        <w:instrText xml:space="preserve"> PAGEREF _Toc17458 \h </w:instrText>
      </w:r>
      <w:r>
        <w:rPr>
          <w:rFonts w:hint="eastAsia"/>
        </w:rPr>
        <w:fldChar w:fldCharType="separate"/>
      </w:r>
      <w:r>
        <w:rPr>
          <w:rFonts w:hint="eastAsia"/>
        </w:rPr>
        <w:t>16</w:t>
      </w:r>
      <w:r>
        <w:rPr>
          <w:rFonts w:hint="eastAsia"/>
        </w:rPr>
        <w:fldChar w:fldCharType="end"/>
      </w:r>
      <w:r>
        <w:rPr>
          <w:rFonts w:hint="eastAsia"/>
        </w:rPr>
        <w:fldChar w:fldCharType="end"/>
      </w:r>
    </w:p>
    <w:p w14:paraId="4FFAED59">
      <w:pPr>
        <w:pStyle w:val="40"/>
        <w:tabs>
          <w:tab w:val="right" w:leader="dot" w:pos="9185"/>
        </w:tabs>
      </w:pPr>
      <w:r>
        <w:fldChar w:fldCharType="begin"/>
      </w:r>
      <w:r>
        <w:instrText xml:space="preserve"> HYPERLINK \l "_Toc12658" </w:instrText>
      </w:r>
      <w:r>
        <w:fldChar w:fldCharType="separate"/>
      </w:r>
      <w:r>
        <w:rPr>
          <w:rFonts w:hint="eastAsia"/>
        </w:rPr>
        <w:t>4.3投标文件提交的截止时间</w:t>
      </w:r>
      <w:r>
        <w:rPr>
          <w:rFonts w:hint="eastAsia"/>
        </w:rPr>
        <w:tab/>
      </w:r>
      <w:r>
        <w:rPr>
          <w:rFonts w:hint="eastAsia"/>
        </w:rPr>
        <w:fldChar w:fldCharType="begin"/>
      </w:r>
      <w:r>
        <w:rPr>
          <w:rFonts w:hint="eastAsia"/>
        </w:rPr>
        <w:instrText xml:space="preserve"> PAGEREF _Toc12658 \h </w:instrText>
      </w:r>
      <w:r>
        <w:rPr>
          <w:rFonts w:hint="eastAsia"/>
        </w:rPr>
        <w:fldChar w:fldCharType="separate"/>
      </w:r>
      <w:r>
        <w:rPr>
          <w:rFonts w:hint="eastAsia"/>
        </w:rPr>
        <w:t>16</w:t>
      </w:r>
      <w:r>
        <w:rPr>
          <w:rFonts w:hint="eastAsia"/>
        </w:rPr>
        <w:fldChar w:fldCharType="end"/>
      </w:r>
      <w:r>
        <w:rPr>
          <w:rFonts w:hint="eastAsia"/>
        </w:rPr>
        <w:fldChar w:fldCharType="end"/>
      </w:r>
    </w:p>
    <w:p w14:paraId="68704EF0">
      <w:pPr>
        <w:pStyle w:val="40"/>
        <w:tabs>
          <w:tab w:val="right" w:leader="dot" w:pos="9185"/>
        </w:tabs>
      </w:pPr>
      <w:r>
        <w:fldChar w:fldCharType="begin"/>
      </w:r>
      <w:r>
        <w:instrText xml:space="preserve"> HYPERLINK \l "_Toc6302" </w:instrText>
      </w:r>
      <w:r>
        <w:fldChar w:fldCharType="separate"/>
      </w:r>
      <w:r>
        <w:rPr>
          <w:rFonts w:hint="eastAsia"/>
        </w:rPr>
        <w:t>4.4 迟交的投标文件</w:t>
      </w:r>
      <w:r>
        <w:rPr>
          <w:rFonts w:hint="eastAsia"/>
        </w:rPr>
        <w:tab/>
      </w:r>
      <w:r>
        <w:rPr>
          <w:rFonts w:hint="eastAsia"/>
        </w:rPr>
        <w:fldChar w:fldCharType="begin"/>
      </w:r>
      <w:r>
        <w:rPr>
          <w:rFonts w:hint="eastAsia"/>
        </w:rPr>
        <w:instrText xml:space="preserve"> PAGEREF _Toc6302 \h </w:instrText>
      </w:r>
      <w:r>
        <w:rPr>
          <w:rFonts w:hint="eastAsia"/>
        </w:rPr>
        <w:fldChar w:fldCharType="separate"/>
      </w:r>
      <w:r>
        <w:rPr>
          <w:rFonts w:hint="eastAsia"/>
        </w:rPr>
        <w:t>16</w:t>
      </w:r>
      <w:r>
        <w:rPr>
          <w:rFonts w:hint="eastAsia"/>
        </w:rPr>
        <w:fldChar w:fldCharType="end"/>
      </w:r>
      <w:r>
        <w:rPr>
          <w:rFonts w:hint="eastAsia"/>
        </w:rPr>
        <w:fldChar w:fldCharType="end"/>
      </w:r>
    </w:p>
    <w:p w14:paraId="379144B3">
      <w:pPr>
        <w:pStyle w:val="40"/>
        <w:tabs>
          <w:tab w:val="right" w:leader="dot" w:pos="9185"/>
        </w:tabs>
      </w:pPr>
      <w:r>
        <w:fldChar w:fldCharType="begin"/>
      </w:r>
      <w:r>
        <w:instrText xml:space="preserve"> HYPERLINK \l "_Toc8324" </w:instrText>
      </w:r>
      <w:r>
        <w:fldChar w:fldCharType="separate"/>
      </w:r>
      <w:r>
        <w:rPr>
          <w:rFonts w:hint="eastAsia"/>
        </w:rPr>
        <w:t>4.5 投标文件的修改和撤回</w:t>
      </w:r>
      <w:r>
        <w:rPr>
          <w:rFonts w:hint="eastAsia"/>
        </w:rPr>
        <w:tab/>
      </w:r>
      <w:r>
        <w:rPr>
          <w:rFonts w:hint="eastAsia"/>
        </w:rPr>
        <w:fldChar w:fldCharType="begin"/>
      </w:r>
      <w:r>
        <w:rPr>
          <w:rFonts w:hint="eastAsia"/>
        </w:rPr>
        <w:instrText xml:space="preserve"> PAGEREF _Toc8324 \h </w:instrText>
      </w:r>
      <w:r>
        <w:rPr>
          <w:rFonts w:hint="eastAsia"/>
        </w:rPr>
        <w:fldChar w:fldCharType="separate"/>
      </w:r>
      <w:r>
        <w:rPr>
          <w:rFonts w:hint="eastAsia"/>
        </w:rPr>
        <w:t>17</w:t>
      </w:r>
      <w:r>
        <w:rPr>
          <w:rFonts w:hint="eastAsia"/>
        </w:rPr>
        <w:fldChar w:fldCharType="end"/>
      </w:r>
      <w:r>
        <w:rPr>
          <w:rFonts w:hint="eastAsia"/>
        </w:rPr>
        <w:fldChar w:fldCharType="end"/>
      </w:r>
    </w:p>
    <w:p w14:paraId="5B055600">
      <w:pPr>
        <w:pStyle w:val="40"/>
        <w:tabs>
          <w:tab w:val="right" w:leader="dot" w:pos="9185"/>
        </w:tabs>
      </w:pPr>
      <w:r>
        <w:fldChar w:fldCharType="begin"/>
      </w:r>
      <w:r>
        <w:instrText xml:space="preserve"> HYPERLINK \l "_Toc12804" </w:instrText>
      </w:r>
      <w:r>
        <w:fldChar w:fldCharType="separate"/>
      </w:r>
      <w:r>
        <w:rPr>
          <w:rFonts w:hint="eastAsia"/>
        </w:rPr>
        <w:t>5.  开标</w:t>
      </w:r>
      <w:r>
        <w:rPr>
          <w:rFonts w:hint="eastAsia"/>
        </w:rPr>
        <w:tab/>
      </w:r>
      <w:r>
        <w:rPr>
          <w:rFonts w:hint="eastAsia"/>
        </w:rPr>
        <w:fldChar w:fldCharType="begin"/>
      </w:r>
      <w:r>
        <w:rPr>
          <w:rFonts w:hint="eastAsia"/>
        </w:rPr>
        <w:instrText xml:space="preserve"> PAGEREF _Toc12804 \h </w:instrText>
      </w:r>
      <w:r>
        <w:rPr>
          <w:rFonts w:hint="eastAsia"/>
        </w:rPr>
        <w:fldChar w:fldCharType="separate"/>
      </w:r>
      <w:r>
        <w:rPr>
          <w:rFonts w:hint="eastAsia"/>
        </w:rPr>
        <w:t>17</w:t>
      </w:r>
      <w:r>
        <w:rPr>
          <w:rFonts w:hint="eastAsia"/>
        </w:rPr>
        <w:fldChar w:fldCharType="end"/>
      </w:r>
      <w:r>
        <w:rPr>
          <w:rFonts w:hint="eastAsia"/>
        </w:rPr>
        <w:fldChar w:fldCharType="end"/>
      </w:r>
    </w:p>
    <w:p w14:paraId="76C12912">
      <w:pPr>
        <w:pStyle w:val="40"/>
        <w:tabs>
          <w:tab w:val="right" w:leader="dot" w:pos="9185"/>
        </w:tabs>
      </w:pPr>
      <w:r>
        <w:fldChar w:fldCharType="begin"/>
      </w:r>
      <w:r>
        <w:instrText xml:space="preserve"> HYPERLINK \l "_Toc7579" </w:instrText>
      </w:r>
      <w:r>
        <w:fldChar w:fldCharType="separate"/>
      </w:r>
      <w:r>
        <w:rPr>
          <w:rFonts w:hint="eastAsia"/>
        </w:rPr>
        <w:t>5.1 开标时间及地点</w:t>
      </w:r>
      <w:r>
        <w:rPr>
          <w:rFonts w:hint="eastAsia"/>
        </w:rPr>
        <w:tab/>
      </w:r>
      <w:r>
        <w:rPr>
          <w:rFonts w:hint="eastAsia"/>
        </w:rPr>
        <w:fldChar w:fldCharType="begin"/>
      </w:r>
      <w:r>
        <w:rPr>
          <w:rFonts w:hint="eastAsia"/>
        </w:rPr>
        <w:instrText xml:space="preserve"> PAGEREF _Toc7579 \h </w:instrText>
      </w:r>
      <w:r>
        <w:rPr>
          <w:rFonts w:hint="eastAsia"/>
        </w:rPr>
        <w:fldChar w:fldCharType="separate"/>
      </w:r>
      <w:r>
        <w:rPr>
          <w:rFonts w:hint="eastAsia"/>
        </w:rPr>
        <w:t>17</w:t>
      </w:r>
      <w:r>
        <w:rPr>
          <w:rFonts w:hint="eastAsia"/>
        </w:rPr>
        <w:fldChar w:fldCharType="end"/>
      </w:r>
      <w:r>
        <w:rPr>
          <w:rFonts w:hint="eastAsia"/>
        </w:rPr>
        <w:fldChar w:fldCharType="end"/>
      </w:r>
    </w:p>
    <w:p w14:paraId="6B518708">
      <w:pPr>
        <w:pStyle w:val="40"/>
        <w:tabs>
          <w:tab w:val="right" w:leader="dot" w:pos="9185"/>
        </w:tabs>
      </w:pPr>
      <w:r>
        <w:fldChar w:fldCharType="begin"/>
      </w:r>
      <w:r>
        <w:instrText xml:space="preserve"> HYPERLINK \l "_Toc26498" </w:instrText>
      </w:r>
      <w:r>
        <w:fldChar w:fldCharType="separate"/>
      </w:r>
      <w:r>
        <w:rPr>
          <w:rFonts w:hint="eastAsia"/>
        </w:rPr>
        <w:t>5.2开标程序</w:t>
      </w:r>
      <w:r>
        <w:rPr>
          <w:rFonts w:hint="eastAsia"/>
        </w:rPr>
        <w:tab/>
      </w:r>
      <w:r>
        <w:rPr>
          <w:rFonts w:hint="eastAsia"/>
        </w:rPr>
        <w:fldChar w:fldCharType="begin"/>
      </w:r>
      <w:r>
        <w:rPr>
          <w:rFonts w:hint="eastAsia"/>
        </w:rPr>
        <w:instrText xml:space="preserve"> PAGEREF _Toc26498 \h </w:instrText>
      </w:r>
      <w:r>
        <w:rPr>
          <w:rFonts w:hint="eastAsia"/>
        </w:rPr>
        <w:fldChar w:fldCharType="separate"/>
      </w:r>
      <w:r>
        <w:rPr>
          <w:rFonts w:hint="eastAsia"/>
        </w:rPr>
        <w:t>17</w:t>
      </w:r>
      <w:r>
        <w:rPr>
          <w:rFonts w:hint="eastAsia"/>
        </w:rPr>
        <w:fldChar w:fldCharType="end"/>
      </w:r>
      <w:r>
        <w:rPr>
          <w:rFonts w:hint="eastAsia"/>
        </w:rPr>
        <w:fldChar w:fldCharType="end"/>
      </w:r>
    </w:p>
    <w:p w14:paraId="31B62289">
      <w:pPr>
        <w:pStyle w:val="40"/>
        <w:tabs>
          <w:tab w:val="right" w:leader="dot" w:pos="9185"/>
        </w:tabs>
      </w:pPr>
      <w:r>
        <w:fldChar w:fldCharType="begin"/>
      </w:r>
      <w:r>
        <w:instrText xml:space="preserve"> HYPERLINK \l "_Toc23800" </w:instrText>
      </w:r>
      <w:r>
        <w:fldChar w:fldCharType="separate"/>
      </w:r>
      <w:r>
        <w:rPr>
          <w:rFonts w:hint="eastAsia"/>
        </w:rPr>
        <w:t>6. 评标</w:t>
      </w:r>
      <w:r>
        <w:rPr>
          <w:rFonts w:hint="eastAsia"/>
        </w:rPr>
        <w:tab/>
      </w:r>
      <w:r>
        <w:rPr>
          <w:rFonts w:hint="eastAsia"/>
        </w:rPr>
        <w:fldChar w:fldCharType="begin"/>
      </w:r>
      <w:r>
        <w:rPr>
          <w:rFonts w:hint="eastAsia"/>
        </w:rPr>
        <w:instrText xml:space="preserve"> PAGEREF _Toc23800 \h </w:instrText>
      </w:r>
      <w:r>
        <w:rPr>
          <w:rFonts w:hint="eastAsia"/>
        </w:rPr>
        <w:fldChar w:fldCharType="separate"/>
      </w:r>
      <w:r>
        <w:rPr>
          <w:rFonts w:hint="eastAsia"/>
        </w:rPr>
        <w:t>17</w:t>
      </w:r>
      <w:r>
        <w:rPr>
          <w:rFonts w:hint="eastAsia"/>
        </w:rPr>
        <w:fldChar w:fldCharType="end"/>
      </w:r>
      <w:r>
        <w:rPr>
          <w:rFonts w:hint="eastAsia"/>
        </w:rPr>
        <w:fldChar w:fldCharType="end"/>
      </w:r>
    </w:p>
    <w:p w14:paraId="3357B983">
      <w:pPr>
        <w:pStyle w:val="40"/>
        <w:tabs>
          <w:tab w:val="right" w:leader="dot" w:pos="9185"/>
        </w:tabs>
      </w:pPr>
      <w:r>
        <w:fldChar w:fldCharType="begin"/>
      </w:r>
      <w:r>
        <w:instrText xml:space="preserve"> HYPERLINK \l "_Toc6585" </w:instrText>
      </w:r>
      <w:r>
        <w:fldChar w:fldCharType="separate"/>
      </w:r>
      <w:r>
        <w:rPr>
          <w:rFonts w:hint="eastAsia"/>
        </w:rPr>
        <w:t>6.1 评标委员会</w:t>
      </w:r>
      <w:r>
        <w:rPr>
          <w:rFonts w:hint="eastAsia"/>
        </w:rPr>
        <w:tab/>
      </w:r>
      <w:r>
        <w:rPr>
          <w:rFonts w:hint="eastAsia"/>
        </w:rPr>
        <w:fldChar w:fldCharType="begin"/>
      </w:r>
      <w:r>
        <w:rPr>
          <w:rFonts w:hint="eastAsia"/>
        </w:rPr>
        <w:instrText xml:space="preserve"> PAGEREF _Toc6585 \h </w:instrText>
      </w:r>
      <w:r>
        <w:rPr>
          <w:rFonts w:hint="eastAsia"/>
        </w:rPr>
        <w:fldChar w:fldCharType="separate"/>
      </w:r>
      <w:r>
        <w:rPr>
          <w:rFonts w:hint="eastAsia"/>
        </w:rPr>
        <w:t>17</w:t>
      </w:r>
      <w:r>
        <w:rPr>
          <w:rFonts w:hint="eastAsia"/>
        </w:rPr>
        <w:fldChar w:fldCharType="end"/>
      </w:r>
      <w:r>
        <w:rPr>
          <w:rFonts w:hint="eastAsia"/>
        </w:rPr>
        <w:fldChar w:fldCharType="end"/>
      </w:r>
    </w:p>
    <w:p w14:paraId="4774A4F7">
      <w:pPr>
        <w:pStyle w:val="40"/>
        <w:tabs>
          <w:tab w:val="right" w:leader="dot" w:pos="9185"/>
        </w:tabs>
      </w:pPr>
      <w:r>
        <w:fldChar w:fldCharType="begin"/>
      </w:r>
      <w:r>
        <w:instrText xml:space="preserve"> HYPERLINK \l "_Toc13688" </w:instrText>
      </w:r>
      <w:r>
        <w:fldChar w:fldCharType="separate"/>
      </w:r>
      <w:r>
        <w:rPr>
          <w:rFonts w:hint="eastAsia"/>
        </w:rPr>
        <w:t>6.2 评标原则</w:t>
      </w:r>
      <w:r>
        <w:rPr>
          <w:rFonts w:hint="eastAsia"/>
        </w:rPr>
        <w:tab/>
      </w:r>
      <w:r>
        <w:rPr>
          <w:rFonts w:hint="eastAsia"/>
        </w:rPr>
        <w:fldChar w:fldCharType="begin"/>
      </w:r>
      <w:r>
        <w:rPr>
          <w:rFonts w:hint="eastAsia"/>
        </w:rPr>
        <w:instrText xml:space="preserve"> PAGEREF _Toc13688 \h </w:instrText>
      </w:r>
      <w:r>
        <w:rPr>
          <w:rFonts w:hint="eastAsia"/>
        </w:rPr>
        <w:fldChar w:fldCharType="separate"/>
      </w:r>
      <w:r>
        <w:rPr>
          <w:rFonts w:hint="eastAsia"/>
        </w:rPr>
        <w:t>17</w:t>
      </w:r>
      <w:r>
        <w:rPr>
          <w:rFonts w:hint="eastAsia"/>
        </w:rPr>
        <w:fldChar w:fldCharType="end"/>
      </w:r>
      <w:r>
        <w:rPr>
          <w:rFonts w:hint="eastAsia"/>
        </w:rPr>
        <w:fldChar w:fldCharType="end"/>
      </w:r>
    </w:p>
    <w:p w14:paraId="60E9716B">
      <w:pPr>
        <w:pStyle w:val="40"/>
        <w:tabs>
          <w:tab w:val="right" w:leader="dot" w:pos="9185"/>
        </w:tabs>
      </w:pPr>
      <w:r>
        <w:fldChar w:fldCharType="begin"/>
      </w:r>
      <w:r>
        <w:instrText xml:space="preserve"> HYPERLINK \l "_Toc4963" </w:instrText>
      </w:r>
      <w:r>
        <w:fldChar w:fldCharType="separate"/>
      </w:r>
      <w:r>
        <w:rPr>
          <w:rFonts w:hint="eastAsia"/>
        </w:rPr>
        <w:t>6.3 评标方法</w:t>
      </w:r>
      <w:r>
        <w:rPr>
          <w:rFonts w:hint="eastAsia"/>
        </w:rPr>
        <w:tab/>
      </w:r>
      <w:r>
        <w:rPr>
          <w:rFonts w:hint="eastAsia"/>
        </w:rPr>
        <w:fldChar w:fldCharType="begin"/>
      </w:r>
      <w:r>
        <w:rPr>
          <w:rFonts w:hint="eastAsia"/>
        </w:rPr>
        <w:instrText xml:space="preserve"> PAGEREF _Toc4963 \h </w:instrText>
      </w:r>
      <w:r>
        <w:rPr>
          <w:rFonts w:hint="eastAsia"/>
        </w:rPr>
        <w:fldChar w:fldCharType="separate"/>
      </w:r>
      <w:r>
        <w:rPr>
          <w:rFonts w:hint="eastAsia"/>
        </w:rPr>
        <w:t>17</w:t>
      </w:r>
      <w:r>
        <w:rPr>
          <w:rFonts w:hint="eastAsia"/>
        </w:rPr>
        <w:fldChar w:fldCharType="end"/>
      </w:r>
      <w:r>
        <w:rPr>
          <w:rFonts w:hint="eastAsia"/>
        </w:rPr>
        <w:fldChar w:fldCharType="end"/>
      </w:r>
    </w:p>
    <w:p w14:paraId="76B0FFF7">
      <w:pPr>
        <w:pStyle w:val="40"/>
        <w:tabs>
          <w:tab w:val="right" w:leader="dot" w:pos="9185"/>
        </w:tabs>
      </w:pPr>
      <w:r>
        <w:fldChar w:fldCharType="begin"/>
      </w:r>
      <w:r>
        <w:instrText xml:space="preserve"> HYPERLINK \l "_Toc7580" </w:instrText>
      </w:r>
      <w:r>
        <w:fldChar w:fldCharType="separate"/>
      </w:r>
      <w:r>
        <w:rPr>
          <w:rFonts w:hint="eastAsia"/>
        </w:rPr>
        <w:t>6.4 投标文件的有效性</w:t>
      </w:r>
      <w:r>
        <w:rPr>
          <w:rFonts w:hint="eastAsia"/>
        </w:rPr>
        <w:tab/>
      </w:r>
      <w:r>
        <w:rPr>
          <w:rFonts w:hint="eastAsia"/>
        </w:rPr>
        <w:fldChar w:fldCharType="begin"/>
      </w:r>
      <w:r>
        <w:rPr>
          <w:rFonts w:hint="eastAsia"/>
        </w:rPr>
        <w:instrText xml:space="preserve"> PAGEREF _Toc7580 \h </w:instrText>
      </w:r>
      <w:r>
        <w:rPr>
          <w:rFonts w:hint="eastAsia"/>
        </w:rPr>
        <w:fldChar w:fldCharType="separate"/>
      </w:r>
      <w:r>
        <w:rPr>
          <w:rFonts w:hint="eastAsia"/>
        </w:rPr>
        <w:t>17</w:t>
      </w:r>
      <w:r>
        <w:rPr>
          <w:rFonts w:hint="eastAsia"/>
        </w:rPr>
        <w:fldChar w:fldCharType="end"/>
      </w:r>
      <w:r>
        <w:rPr>
          <w:rFonts w:hint="eastAsia"/>
        </w:rPr>
        <w:fldChar w:fldCharType="end"/>
      </w:r>
    </w:p>
    <w:p w14:paraId="7F58AEB9">
      <w:pPr>
        <w:pStyle w:val="40"/>
        <w:tabs>
          <w:tab w:val="right" w:leader="dot" w:pos="9185"/>
        </w:tabs>
      </w:pPr>
      <w:r>
        <w:fldChar w:fldCharType="begin"/>
      </w:r>
      <w:r>
        <w:instrText xml:space="preserve"> HYPERLINK \l "_Toc11443" </w:instrText>
      </w:r>
      <w:r>
        <w:fldChar w:fldCharType="separate"/>
      </w:r>
      <w:r>
        <w:rPr>
          <w:rFonts w:hint="eastAsia"/>
        </w:rPr>
        <w:t>6.5 投标文件的澄清</w:t>
      </w:r>
      <w:r>
        <w:rPr>
          <w:rFonts w:hint="eastAsia"/>
        </w:rPr>
        <w:tab/>
      </w:r>
      <w:r>
        <w:rPr>
          <w:rFonts w:hint="eastAsia"/>
        </w:rPr>
        <w:fldChar w:fldCharType="begin"/>
      </w:r>
      <w:r>
        <w:rPr>
          <w:rFonts w:hint="eastAsia"/>
        </w:rPr>
        <w:instrText xml:space="preserve"> PAGEREF _Toc11443 \h </w:instrText>
      </w:r>
      <w:r>
        <w:rPr>
          <w:rFonts w:hint="eastAsia"/>
        </w:rPr>
        <w:fldChar w:fldCharType="separate"/>
      </w:r>
      <w:r>
        <w:rPr>
          <w:rFonts w:hint="eastAsia"/>
        </w:rPr>
        <w:t>18</w:t>
      </w:r>
      <w:r>
        <w:rPr>
          <w:rFonts w:hint="eastAsia"/>
        </w:rPr>
        <w:fldChar w:fldCharType="end"/>
      </w:r>
      <w:r>
        <w:rPr>
          <w:rFonts w:hint="eastAsia"/>
        </w:rPr>
        <w:fldChar w:fldCharType="end"/>
      </w:r>
    </w:p>
    <w:p w14:paraId="0833E320">
      <w:pPr>
        <w:pStyle w:val="40"/>
        <w:tabs>
          <w:tab w:val="right" w:leader="dot" w:pos="9185"/>
        </w:tabs>
      </w:pPr>
      <w:r>
        <w:fldChar w:fldCharType="begin"/>
      </w:r>
      <w:r>
        <w:instrText xml:space="preserve"> HYPERLINK \l "_Toc26908" </w:instrText>
      </w:r>
      <w:r>
        <w:fldChar w:fldCharType="separate"/>
      </w:r>
      <w:r>
        <w:rPr>
          <w:rFonts w:hint="eastAsia"/>
        </w:rPr>
        <w:t>6.6 投标文件的初步评审</w:t>
      </w:r>
      <w:r>
        <w:rPr>
          <w:rFonts w:hint="eastAsia"/>
        </w:rPr>
        <w:tab/>
      </w:r>
      <w:r>
        <w:rPr>
          <w:rFonts w:hint="eastAsia"/>
        </w:rPr>
        <w:fldChar w:fldCharType="begin"/>
      </w:r>
      <w:r>
        <w:rPr>
          <w:rFonts w:hint="eastAsia"/>
        </w:rPr>
        <w:instrText xml:space="preserve"> PAGEREF _Toc26908 \h </w:instrText>
      </w:r>
      <w:r>
        <w:rPr>
          <w:rFonts w:hint="eastAsia"/>
        </w:rPr>
        <w:fldChar w:fldCharType="separate"/>
      </w:r>
      <w:r>
        <w:rPr>
          <w:rFonts w:hint="eastAsia"/>
        </w:rPr>
        <w:t>18</w:t>
      </w:r>
      <w:r>
        <w:rPr>
          <w:rFonts w:hint="eastAsia"/>
        </w:rPr>
        <w:fldChar w:fldCharType="end"/>
      </w:r>
      <w:r>
        <w:rPr>
          <w:rFonts w:hint="eastAsia"/>
        </w:rPr>
        <w:fldChar w:fldCharType="end"/>
      </w:r>
    </w:p>
    <w:p w14:paraId="499CF61A">
      <w:pPr>
        <w:pStyle w:val="40"/>
        <w:tabs>
          <w:tab w:val="right" w:leader="dot" w:pos="9185"/>
        </w:tabs>
      </w:pPr>
      <w:r>
        <w:fldChar w:fldCharType="begin"/>
      </w:r>
      <w:r>
        <w:instrText xml:space="preserve"> HYPERLINK \l "_Toc24065" </w:instrText>
      </w:r>
      <w:r>
        <w:fldChar w:fldCharType="separate"/>
      </w:r>
      <w:r>
        <w:rPr>
          <w:rFonts w:hint="eastAsia"/>
        </w:rPr>
        <w:t>6.7 投标文件的详细评审</w:t>
      </w:r>
      <w:r>
        <w:rPr>
          <w:rFonts w:hint="eastAsia"/>
        </w:rPr>
        <w:tab/>
      </w:r>
      <w:r>
        <w:rPr>
          <w:rFonts w:hint="eastAsia"/>
        </w:rPr>
        <w:fldChar w:fldCharType="begin"/>
      </w:r>
      <w:r>
        <w:rPr>
          <w:rFonts w:hint="eastAsia"/>
        </w:rPr>
        <w:instrText xml:space="preserve"> PAGEREF _Toc24065 \h </w:instrText>
      </w:r>
      <w:r>
        <w:rPr>
          <w:rFonts w:hint="eastAsia"/>
        </w:rPr>
        <w:fldChar w:fldCharType="separate"/>
      </w:r>
      <w:r>
        <w:rPr>
          <w:rFonts w:hint="eastAsia"/>
        </w:rPr>
        <w:t>18</w:t>
      </w:r>
      <w:r>
        <w:rPr>
          <w:rFonts w:hint="eastAsia"/>
        </w:rPr>
        <w:fldChar w:fldCharType="end"/>
      </w:r>
      <w:r>
        <w:rPr>
          <w:rFonts w:hint="eastAsia"/>
        </w:rPr>
        <w:fldChar w:fldCharType="end"/>
      </w:r>
    </w:p>
    <w:p w14:paraId="259A151E">
      <w:pPr>
        <w:pStyle w:val="40"/>
        <w:tabs>
          <w:tab w:val="right" w:leader="dot" w:pos="9185"/>
        </w:tabs>
      </w:pPr>
      <w:r>
        <w:fldChar w:fldCharType="begin"/>
      </w:r>
      <w:r>
        <w:instrText xml:space="preserve"> HYPERLINK \l "_Toc2914" </w:instrText>
      </w:r>
      <w:r>
        <w:fldChar w:fldCharType="separate"/>
      </w:r>
      <w:r>
        <w:rPr>
          <w:rFonts w:hint="eastAsia"/>
        </w:rPr>
        <w:t>6.8 中标人的确定</w:t>
      </w:r>
      <w:r>
        <w:rPr>
          <w:rFonts w:hint="eastAsia"/>
        </w:rPr>
        <w:tab/>
      </w:r>
      <w:r>
        <w:rPr>
          <w:rFonts w:hint="eastAsia"/>
        </w:rPr>
        <w:fldChar w:fldCharType="begin"/>
      </w:r>
      <w:r>
        <w:rPr>
          <w:rFonts w:hint="eastAsia"/>
        </w:rPr>
        <w:instrText xml:space="preserve"> PAGEREF _Toc2914 \h </w:instrText>
      </w:r>
      <w:r>
        <w:rPr>
          <w:rFonts w:hint="eastAsia"/>
        </w:rPr>
        <w:fldChar w:fldCharType="separate"/>
      </w:r>
      <w:r>
        <w:rPr>
          <w:rFonts w:hint="eastAsia"/>
        </w:rPr>
        <w:t>18</w:t>
      </w:r>
      <w:r>
        <w:rPr>
          <w:rFonts w:hint="eastAsia"/>
        </w:rPr>
        <w:fldChar w:fldCharType="end"/>
      </w:r>
      <w:r>
        <w:rPr>
          <w:rFonts w:hint="eastAsia"/>
        </w:rPr>
        <w:fldChar w:fldCharType="end"/>
      </w:r>
    </w:p>
    <w:p w14:paraId="2328F94A">
      <w:pPr>
        <w:pStyle w:val="40"/>
        <w:tabs>
          <w:tab w:val="right" w:leader="dot" w:pos="9185"/>
        </w:tabs>
      </w:pPr>
      <w:r>
        <w:fldChar w:fldCharType="begin"/>
      </w:r>
      <w:r>
        <w:instrText xml:space="preserve"> HYPERLINK \l "_Toc32702" </w:instrText>
      </w:r>
      <w:r>
        <w:fldChar w:fldCharType="separate"/>
      </w:r>
      <w:r>
        <w:rPr>
          <w:rFonts w:hint="eastAsia"/>
        </w:rPr>
        <w:t>7. 合同的授予</w:t>
      </w:r>
      <w:r>
        <w:rPr>
          <w:rFonts w:hint="eastAsia"/>
        </w:rPr>
        <w:tab/>
      </w:r>
      <w:r>
        <w:rPr>
          <w:rFonts w:hint="eastAsia"/>
        </w:rPr>
        <w:fldChar w:fldCharType="begin"/>
      </w:r>
      <w:r>
        <w:rPr>
          <w:rFonts w:hint="eastAsia"/>
        </w:rPr>
        <w:instrText xml:space="preserve"> PAGEREF _Toc32702 \h </w:instrText>
      </w:r>
      <w:r>
        <w:rPr>
          <w:rFonts w:hint="eastAsia"/>
        </w:rPr>
        <w:fldChar w:fldCharType="separate"/>
      </w:r>
      <w:r>
        <w:rPr>
          <w:rFonts w:hint="eastAsia"/>
        </w:rPr>
        <w:t>19</w:t>
      </w:r>
      <w:r>
        <w:rPr>
          <w:rFonts w:hint="eastAsia"/>
        </w:rPr>
        <w:fldChar w:fldCharType="end"/>
      </w:r>
      <w:r>
        <w:rPr>
          <w:rFonts w:hint="eastAsia"/>
        </w:rPr>
        <w:fldChar w:fldCharType="end"/>
      </w:r>
    </w:p>
    <w:p w14:paraId="75F05A1B">
      <w:pPr>
        <w:pStyle w:val="40"/>
        <w:tabs>
          <w:tab w:val="right" w:leader="dot" w:pos="9185"/>
        </w:tabs>
      </w:pPr>
      <w:r>
        <w:fldChar w:fldCharType="begin"/>
      </w:r>
      <w:r>
        <w:instrText xml:space="preserve"> HYPERLINK \l "_Toc2848" </w:instrText>
      </w:r>
      <w:r>
        <w:fldChar w:fldCharType="separate"/>
      </w:r>
      <w:r>
        <w:rPr>
          <w:rFonts w:hint="eastAsia"/>
        </w:rPr>
        <w:t>7.1 授予合同</w:t>
      </w:r>
      <w:r>
        <w:rPr>
          <w:rFonts w:hint="eastAsia"/>
        </w:rPr>
        <w:tab/>
      </w:r>
      <w:r>
        <w:rPr>
          <w:rFonts w:hint="eastAsia"/>
        </w:rPr>
        <w:fldChar w:fldCharType="begin"/>
      </w:r>
      <w:r>
        <w:rPr>
          <w:rFonts w:hint="eastAsia"/>
        </w:rPr>
        <w:instrText xml:space="preserve"> PAGEREF _Toc2848 \h </w:instrText>
      </w:r>
      <w:r>
        <w:rPr>
          <w:rFonts w:hint="eastAsia"/>
        </w:rPr>
        <w:fldChar w:fldCharType="separate"/>
      </w:r>
      <w:r>
        <w:rPr>
          <w:rFonts w:hint="eastAsia"/>
        </w:rPr>
        <w:t>19</w:t>
      </w:r>
      <w:r>
        <w:rPr>
          <w:rFonts w:hint="eastAsia"/>
        </w:rPr>
        <w:fldChar w:fldCharType="end"/>
      </w:r>
      <w:r>
        <w:rPr>
          <w:rFonts w:hint="eastAsia"/>
        </w:rPr>
        <w:fldChar w:fldCharType="end"/>
      </w:r>
    </w:p>
    <w:p w14:paraId="20BDAFED">
      <w:pPr>
        <w:pStyle w:val="40"/>
        <w:tabs>
          <w:tab w:val="right" w:leader="dot" w:pos="9185"/>
        </w:tabs>
      </w:pPr>
      <w:r>
        <w:fldChar w:fldCharType="begin"/>
      </w:r>
      <w:r>
        <w:instrText xml:space="preserve"> HYPERLINK \l "_Toc21965" </w:instrText>
      </w:r>
      <w:r>
        <w:fldChar w:fldCharType="separate"/>
      </w:r>
      <w:r>
        <w:rPr>
          <w:rFonts w:hint="eastAsia"/>
        </w:rPr>
        <w:t>7.2 中标通知书</w:t>
      </w:r>
      <w:r>
        <w:rPr>
          <w:rFonts w:hint="eastAsia"/>
        </w:rPr>
        <w:tab/>
      </w:r>
      <w:r>
        <w:rPr>
          <w:rFonts w:hint="eastAsia"/>
        </w:rPr>
        <w:fldChar w:fldCharType="begin"/>
      </w:r>
      <w:r>
        <w:rPr>
          <w:rFonts w:hint="eastAsia"/>
        </w:rPr>
        <w:instrText xml:space="preserve"> PAGEREF _Toc21965 \h </w:instrText>
      </w:r>
      <w:r>
        <w:rPr>
          <w:rFonts w:hint="eastAsia"/>
        </w:rPr>
        <w:fldChar w:fldCharType="separate"/>
      </w:r>
      <w:r>
        <w:rPr>
          <w:rFonts w:hint="eastAsia"/>
        </w:rPr>
        <w:t>19</w:t>
      </w:r>
      <w:r>
        <w:rPr>
          <w:rFonts w:hint="eastAsia"/>
        </w:rPr>
        <w:fldChar w:fldCharType="end"/>
      </w:r>
      <w:r>
        <w:rPr>
          <w:rFonts w:hint="eastAsia"/>
        </w:rPr>
        <w:fldChar w:fldCharType="end"/>
      </w:r>
    </w:p>
    <w:p w14:paraId="2812E327">
      <w:pPr>
        <w:pStyle w:val="40"/>
        <w:tabs>
          <w:tab w:val="right" w:leader="dot" w:pos="9185"/>
        </w:tabs>
      </w:pPr>
      <w:r>
        <w:fldChar w:fldCharType="begin"/>
      </w:r>
      <w:r>
        <w:instrText xml:space="preserve"> HYPERLINK \l "_Toc31929" </w:instrText>
      </w:r>
      <w:r>
        <w:fldChar w:fldCharType="separate"/>
      </w:r>
      <w:r>
        <w:rPr>
          <w:rFonts w:hint="eastAsia"/>
        </w:rPr>
        <w:t>7.3合同签订</w:t>
      </w:r>
      <w:r>
        <w:rPr>
          <w:rFonts w:hint="eastAsia"/>
        </w:rPr>
        <w:tab/>
      </w:r>
      <w:r>
        <w:rPr>
          <w:rFonts w:hint="eastAsia"/>
        </w:rPr>
        <w:fldChar w:fldCharType="begin"/>
      </w:r>
      <w:r>
        <w:rPr>
          <w:rFonts w:hint="eastAsia"/>
        </w:rPr>
        <w:instrText xml:space="preserve"> PAGEREF _Toc31929 \h </w:instrText>
      </w:r>
      <w:r>
        <w:rPr>
          <w:rFonts w:hint="eastAsia"/>
        </w:rPr>
        <w:fldChar w:fldCharType="separate"/>
      </w:r>
      <w:r>
        <w:rPr>
          <w:rFonts w:hint="eastAsia"/>
        </w:rPr>
        <w:t>19</w:t>
      </w:r>
      <w:r>
        <w:rPr>
          <w:rFonts w:hint="eastAsia"/>
        </w:rPr>
        <w:fldChar w:fldCharType="end"/>
      </w:r>
      <w:r>
        <w:rPr>
          <w:rFonts w:hint="eastAsia"/>
        </w:rPr>
        <w:fldChar w:fldCharType="end"/>
      </w:r>
    </w:p>
    <w:p w14:paraId="77A110A7">
      <w:pPr>
        <w:pStyle w:val="40"/>
        <w:tabs>
          <w:tab w:val="right" w:leader="dot" w:pos="9185"/>
        </w:tabs>
      </w:pPr>
      <w:r>
        <w:fldChar w:fldCharType="begin"/>
      </w:r>
      <w:r>
        <w:instrText xml:space="preserve"> HYPERLINK \l "_Toc19151" </w:instrText>
      </w:r>
      <w:r>
        <w:fldChar w:fldCharType="separate"/>
      </w:r>
      <w:r>
        <w:rPr>
          <w:rFonts w:hint="eastAsia"/>
        </w:rPr>
        <w:t>8. 纪律和监督</w:t>
      </w:r>
      <w:r>
        <w:rPr>
          <w:rFonts w:hint="eastAsia"/>
        </w:rPr>
        <w:tab/>
      </w:r>
      <w:r>
        <w:rPr>
          <w:rFonts w:hint="eastAsia"/>
        </w:rPr>
        <w:fldChar w:fldCharType="begin"/>
      </w:r>
      <w:r>
        <w:rPr>
          <w:rFonts w:hint="eastAsia"/>
        </w:rPr>
        <w:instrText xml:space="preserve"> PAGEREF _Toc19151 \h </w:instrText>
      </w:r>
      <w:r>
        <w:rPr>
          <w:rFonts w:hint="eastAsia"/>
        </w:rPr>
        <w:fldChar w:fldCharType="separate"/>
      </w:r>
      <w:r>
        <w:rPr>
          <w:rFonts w:hint="eastAsia"/>
        </w:rPr>
        <w:t>19</w:t>
      </w:r>
      <w:r>
        <w:rPr>
          <w:rFonts w:hint="eastAsia"/>
        </w:rPr>
        <w:fldChar w:fldCharType="end"/>
      </w:r>
      <w:r>
        <w:rPr>
          <w:rFonts w:hint="eastAsia"/>
        </w:rPr>
        <w:fldChar w:fldCharType="end"/>
      </w:r>
    </w:p>
    <w:p w14:paraId="7908CD6D">
      <w:pPr>
        <w:pStyle w:val="40"/>
        <w:tabs>
          <w:tab w:val="right" w:leader="dot" w:pos="9185"/>
        </w:tabs>
      </w:pPr>
      <w:r>
        <w:fldChar w:fldCharType="begin"/>
      </w:r>
      <w:r>
        <w:instrText xml:space="preserve"> HYPERLINK \l "_Toc20718" </w:instrText>
      </w:r>
      <w:r>
        <w:fldChar w:fldCharType="separate"/>
      </w:r>
      <w:r>
        <w:rPr>
          <w:rFonts w:hint="eastAsia"/>
        </w:rPr>
        <w:t>8.1 对招标人的纪律要求</w:t>
      </w:r>
      <w:r>
        <w:rPr>
          <w:rFonts w:hint="eastAsia"/>
        </w:rPr>
        <w:tab/>
      </w:r>
      <w:r>
        <w:rPr>
          <w:rFonts w:hint="eastAsia"/>
        </w:rPr>
        <w:fldChar w:fldCharType="begin"/>
      </w:r>
      <w:r>
        <w:rPr>
          <w:rFonts w:hint="eastAsia"/>
        </w:rPr>
        <w:instrText xml:space="preserve"> PAGEREF _Toc20718 \h </w:instrText>
      </w:r>
      <w:r>
        <w:rPr>
          <w:rFonts w:hint="eastAsia"/>
        </w:rPr>
        <w:fldChar w:fldCharType="separate"/>
      </w:r>
      <w:r>
        <w:rPr>
          <w:rFonts w:hint="eastAsia"/>
        </w:rPr>
        <w:t>19</w:t>
      </w:r>
      <w:r>
        <w:rPr>
          <w:rFonts w:hint="eastAsia"/>
        </w:rPr>
        <w:fldChar w:fldCharType="end"/>
      </w:r>
      <w:r>
        <w:rPr>
          <w:rFonts w:hint="eastAsia"/>
        </w:rPr>
        <w:fldChar w:fldCharType="end"/>
      </w:r>
    </w:p>
    <w:p w14:paraId="61BDCB0D">
      <w:pPr>
        <w:pStyle w:val="40"/>
        <w:tabs>
          <w:tab w:val="right" w:leader="dot" w:pos="9185"/>
        </w:tabs>
      </w:pPr>
      <w:r>
        <w:fldChar w:fldCharType="begin"/>
      </w:r>
      <w:r>
        <w:instrText xml:space="preserve"> HYPERLINK \l "_Toc662" </w:instrText>
      </w:r>
      <w:r>
        <w:fldChar w:fldCharType="separate"/>
      </w:r>
      <w:r>
        <w:rPr>
          <w:rFonts w:hint="eastAsia"/>
        </w:rPr>
        <w:t>8.2 对投标人的纪律要求</w:t>
      </w:r>
      <w:r>
        <w:rPr>
          <w:rFonts w:hint="eastAsia"/>
        </w:rPr>
        <w:tab/>
      </w:r>
      <w:r>
        <w:rPr>
          <w:rFonts w:hint="eastAsia"/>
        </w:rPr>
        <w:fldChar w:fldCharType="begin"/>
      </w:r>
      <w:r>
        <w:rPr>
          <w:rFonts w:hint="eastAsia"/>
        </w:rPr>
        <w:instrText xml:space="preserve"> PAGEREF _Toc662 \h </w:instrText>
      </w:r>
      <w:r>
        <w:rPr>
          <w:rFonts w:hint="eastAsia"/>
        </w:rPr>
        <w:fldChar w:fldCharType="separate"/>
      </w:r>
      <w:r>
        <w:rPr>
          <w:rFonts w:hint="eastAsia"/>
        </w:rPr>
        <w:t>19</w:t>
      </w:r>
      <w:r>
        <w:rPr>
          <w:rFonts w:hint="eastAsia"/>
        </w:rPr>
        <w:fldChar w:fldCharType="end"/>
      </w:r>
      <w:r>
        <w:rPr>
          <w:rFonts w:hint="eastAsia"/>
        </w:rPr>
        <w:fldChar w:fldCharType="end"/>
      </w:r>
    </w:p>
    <w:p w14:paraId="4923A6AF">
      <w:pPr>
        <w:pStyle w:val="40"/>
        <w:tabs>
          <w:tab w:val="right" w:leader="dot" w:pos="9185"/>
        </w:tabs>
      </w:pPr>
      <w:r>
        <w:fldChar w:fldCharType="begin"/>
      </w:r>
      <w:r>
        <w:instrText xml:space="preserve"> HYPERLINK \l "_Toc8703" </w:instrText>
      </w:r>
      <w:r>
        <w:fldChar w:fldCharType="separate"/>
      </w:r>
      <w:r>
        <w:rPr>
          <w:rFonts w:hint="eastAsia"/>
        </w:rPr>
        <w:t>8.3 对评标委员会成员的纪律要求</w:t>
      </w:r>
      <w:r>
        <w:rPr>
          <w:rFonts w:hint="eastAsia"/>
        </w:rPr>
        <w:tab/>
      </w:r>
      <w:r>
        <w:rPr>
          <w:rFonts w:hint="eastAsia"/>
        </w:rPr>
        <w:fldChar w:fldCharType="begin"/>
      </w:r>
      <w:r>
        <w:rPr>
          <w:rFonts w:hint="eastAsia"/>
        </w:rPr>
        <w:instrText xml:space="preserve"> PAGEREF _Toc8703 \h </w:instrText>
      </w:r>
      <w:r>
        <w:rPr>
          <w:rFonts w:hint="eastAsia"/>
        </w:rPr>
        <w:fldChar w:fldCharType="separate"/>
      </w:r>
      <w:r>
        <w:rPr>
          <w:rFonts w:hint="eastAsia"/>
        </w:rPr>
        <w:t>19</w:t>
      </w:r>
      <w:r>
        <w:rPr>
          <w:rFonts w:hint="eastAsia"/>
        </w:rPr>
        <w:fldChar w:fldCharType="end"/>
      </w:r>
      <w:r>
        <w:rPr>
          <w:rFonts w:hint="eastAsia"/>
        </w:rPr>
        <w:fldChar w:fldCharType="end"/>
      </w:r>
    </w:p>
    <w:p w14:paraId="77BE762A">
      <w:pPr>
        <w:pStyle w:val="40"/>
        <w:tabs>
          <w:tab w:val="right" w:leader="dot" w:pos="9185"/>
        </w:tabs>
      </w:pPr>
      <w:r>
        <w:fldChar w:fldCharType="begin"/>
      </w:r>
      <w:r>
        <w:instrText xml:space="preserve"> HYPERLINK \l "_Toc25942" </w:instrText>
      </w:r>
      <w:r>
        <w:fldChar w:fldCharType="separate"/>
      </w:r>
      <w:r>
        <w:rPr>
          <w:rFonts w:hint="eastAsia"/>
        </w:rPr>
        <w:t>8.4 对与评标活动有关的工作人员的纪律要求</w:t>
      </w:r>
      <w:r>
        <w:rPr>
          <w:rFonts w:hint="eastAsia"/>
        </w:rPr>
        <w:tab/>
      </w:r>
      <w:r>
        <w:rPr>
          <w:rFonts w:hint="eastAsia"/>
        </w:rPr>
        <w:t>2</w:t>
      </w:r>
      <w:r>
        <w:rPr>
          <w:rFonts w:hint="eastAsia"/>
        </w:rPr>
        <w:fldChar w:fldCharType="end"/>
      </w:r>
      <w:r>
        <w:rPr>
          <w:rFonts w:hint="eastAsia"/>
        </w:rPr>
        <w:t>0</w:t>
      </w:r>
    </w:p>
    <w:p w14:paraId="60C82D5B">
      <w:pPr>
        <w:pStyle w:val="40"/>
        <w:tabs>
          <w:tab w:val="right" w:leader="dot" w:pos="9185"/>
        </w:tabs>
      </w:pPr>
      <w:r>
        <w:fldChar w:fldCharType="begin"/>
      </w:r>
      <w:r>
        <w:instrText xml:space="preserve"> HYPERLINK \l "_Toc14991" </w:instrText>
      </w:r>
      <w:r>
        <w:fldChar w:fldCharType="separate"/>
      </w:r>
      <w:r>
        <w:rPr>
          <w:rFonts w:hint="eastAsia"/>
        </w:rPr>
        <w:t>8.5 投诉</w:t>
      </w:r>
      <w:r>
        <w:rPr>
          <w:rFonts w:hint="eastAsia"/>
        </w:rPr>
        <w:tab/>
      </w:r>
      <w:r>
        <w:rPr>
          <w:rFonts w:hint="eastAsia"/>
        </w:rPr>
        <w:t>2</w:t>
      </w:r>
      <w:r>
        <w:rPr>
          <w:rFonts w:hint="eastAsia"/>
        </w:rPr>
        <w:fldChar w:fldCharType="end"/>
      </w:r>
      <w:r>
        <w:rPr>
          <w:rFonts w:hint="eastAsia"/>
        </w:rPr>
        <w:t>0</w:t>
      </w:r>
    </w:p>
    <w:p w14:paraId="7A80DEE3">
      <w:pPr>
        <w:pStyle w:val="34"/>
        <w:tabs>
          <w:tab w:val="right" w:leader="dot" w:pos="9185"/>
        </w:tabs>
      </w:pPr>
      <w:r>
        <w:fldChar w:fldCharType="begin"/>
      </w:r>
      <w:r>
        <w:instrText xml:space="preserve"> HYPERLINK \l "_Toc4437" </w:instrText>
      </w:r>
      <w:r>
        <w:fldChar w:fldCharType="separate"/>
      </w:r>
      <w:r>
        <w:rPr>
          <w:rFonts w:hint="eastAsia" w:ascii="宋体" w:hAnsi="宋体" w:eastAsia="宋体" w:cs="宋体"/>
          <w:szCs w:val="32"/>
        </w:rPr>
        <w:t>第三章 评标办法（综合评估法）</w:t>
      </w:r>
      <w:r>
        <w:tab/>
      </w:r>
      <w:r>
        <w:rPr>
          <w:rFonts w:hint="eastAsia"/>
        </w:rPr>
        <w:t>2</w:t>
      </w:r>
      <w:r>
        <w:rPr>
          <w:rFonts w:hint="eastAsia"/>
        </w:rPr>
        <w:fldChar w:fldCharType="end"/>
      </w:r>
      <w:r>
        <w:rPr>
          <w:rFonts w:hint="eastAsia"/>
        </w:rPr>
        <w:t>0</w:t>
      </w:r>
    </w:p>
    <w:p w14:paraId="3CF39AB5">
      <w:pPr>
        <w:pStyle w:val="40"/>
        <w:tabs>
          <w:tab w:val="right" w:leader="dot" w:pos="9185"/>
        </w:tabs>
      </w:pPr>
      <w:r>
        <w:fldChar w:fldCharType="begin"/>
      </w:r>
      <w:r>
        <w:instrText xml:space="preserve"> HYPERLINK \l "_Toc11549" </w:instrText>
      </w:r>
      <w:r>
        <w:fldChar w:fldCharType="separate"/>
      </w:r>
      <w:r>
        <w:rPr>
          <w:rFonts w:hint="eastAsia" w:ascii="宋体" w:hAnsi="宋体" w:eastAsia="宋体" w:cs="宋体"/>
          <w:szCs w:val="24"/>
        </w:rPr>
        <w:t>1.评标方法</w:t>
      </w:r>
      <w:r>
        <w:tab/>
      </w:r>
      <w:r>
        <w:rPr>
          <w:rFonts w:hint="eastAsia"/>
        </w:rPr>
        <w:t>2</w:t>
      </w:r>
      <w:r>
        <w:rPr>
          <w:rFonts w:hint="eastAsia"/>
        </w:rPr>
        <w:fldChar w:fldCharType="end"/>
      </w:r>
      <w:r>
        <w:rPr>
          <w:rFonts w:hint="eastAsia"/>
        </w:rPr>
        <w:t>0</w:t>
      </w:r>
    </w:p>
    <w:p w14:paraId="6882EF7D">
      <w:pPr>
        <w:pStyle w:val="40"/>
        <w:tabs>
          <w:tab w:val="right" w:leader="dot" w:pos="9185"/>
        </w:tabs>
      </w:pPr>
      <w:r>
        <w:fldChar w:fldCharType="begin"/>
      </w:r>
      <w:r>
        <w:instrText xml:space="preserve"> HYPERLINK \l "_Toc20265" </w:instrText>
      </w:r>
      <w:r>
        <w:fldChar w:fldCharType="separate"/>
      </w:r>
      <w:r>
        <w:rPr>
          <w:rFonts w:hint="eastAsia" w:ascii="宋体" w:hAnsi="宋体" w:eastAsia="宋体" w:cs="宋体"/>
          <w:szCs w:val="24"/>
        </w:rPr>
        <w:t>2.投标文件的初审和响应性的规定</w:t>
      </w:r>
      <w:r>
        <w:tab/>
      </w:r>
      <w:r>
        <w:rPr>
          <w:rFonts w:hint="eastAsia"/>
        </w:rPr>
        <w:t>2</w:t>
      </w:r>
      <w:r>
        <w:rPr>
          <w:rFonts w:hint="eastAsia"/>
        </w:rPr>
        <w:fldChar w:fldCharType="end"/>
      </w:r>
      <w:r>
        <w:rPr>
          <w:rFonts w:hint="eastAsia"/>
        </w:rPr>
        <w:t>0</w:t>
      </w:r>
    </w:p>
    <w:p w14:paraId="022A712B">
      <w:pPr>
        <w:pStyle w:val="40"/>
        <w:tabs>
          <w:tab w:val="right" w:leader="dot" w:pos="9185"/>
        </w:tabs>
      </w:pPr>
      <w:r>
        <w:fldChar w:fldCharType="begin"/>
      </w:r>
      <w:r>
        <w:instrText xml:space="preserve"> HYPERLINK \l "_Toc18380" </w:instrText>
      </w:r>
      <w:r>
        <w:fldChar w:fldCharType="separate"/>
      </w:r>
      <w:r>
        <w:rPr>
          <w:rFonts w:hint="eastAsia" w:ascii="宋体" w:hAnsi="宋体" w:eastAsia="宋体" w:cs="宋体"/>
          <w:szCs w:val="24"/>
        </w:rPr>
        <w:t>3.初步评审</w:t>
      </w:r>
      <w:r>
        <w:tab/>
      </w:r>
      <w:r>
        <w:rPr>
          <w:rFonts w:hint="eastAsia"/>
        </w:rPr>
        <w:t>2</w:t>
      </w:r>
      <w:r>
        <w:rPr>
          <w:rFonts w:hint="eastAsia"/>
        </w:rPr>
        <w:fldChar w:fldCharType="end"/>
      </w:r>
      <w:r>
        <w:rPr>
          <w:rFonts w:hint="eastAsia"/>
        </w:rPr>
        <w:t>2</w:t>
      </w:r>
    </w:p>
    <w:p w14:paraId="31444189">
      <w:pPr>
        <w:pStyle w:val="40"/>
        <w:tabs>
          <w:tab w:val="right" w:leader="dot" w:pos="9185"/>
        </w:tabs>
      </w:pPr>
      <w:r>
        <w:fldChar w:fldCharType="begin"/>
      </w:r>
      <w:r>
        <w:instrText xml:space="preserve"> HYPERLINK \l "_Toc17598" </w:instrText>
      </w:r>
      <w:r>
        <w:fldChar w:fldCharType="separate"/>
      </w:r>
      <w:r>
        <w:rPr>
          <w:rFonts w:hint="eastAsia" w:ascii="宋体" w:hAnsi="宋体" w:eastAsia="宋体" w:cs="宋体"/>
          <w:szCs w:val="24"/>
        </w:rPr>
        <w:t>4.  详细评审</w:t>
      </w:r>
      <w:r>
        <w:tab/>
      </w:r>
      <w:r>
        <w:rPr>
          <w:rFonts w:hint="eastAsia"/>
        </w:rPr>
        <w:t>2</w:t>
      </w:r>
      <w:r>
        <w:rPr>
          <w:rFonts w:hint="eastAsia"/>
        </w:rPr>
        <w:fldChar w:fldCharType="end"/>
      </w:r>
      <w:r>
        <w:rPr>
          <w:rFonts w:hint="eastAsia"/>
        </w:rPr>
        <w:t>2</w:t>
      </w:r>
    </w:p>
    <w:p w14:paraId="2292E01E">
      <w:pPr>
        <w:pStyle w:val="40"/>
        <w:tabs>
          <w:tab w:val="right" w:leader="dot" w:pos="9185"/>
        </w:tabs>
      </w:pPr>
      <w:r>
        <w:fldChar w:fldCharType="begin"/>
      </w:r>
      <w:r>
        <w:instrText xml:space="preserve"> HYPERLINK \l "_Toc20423" </w:instrText>
      </w:r>
      <w:r>
        <w:fldChar w:fldCharType="separate"/>
      </w:r>
      <w:r>
        <w:rPr>
          <w:rFonts w:hint="eastAsia" w:ascii="宋体" w:hAnsi="宋体" w:cs="宋体"/>
          <w:szCs w:val="24"/>
        </w:rPr>
        <w:t>4.1 商务评分标准（10分）</w:t>
      </w:r>
      <w:r>
        <w:tab/>
      </w:r>
      <w:r>
        <w:fldChar w:fldCharType="begin"/>
      </w:r>
      <w:r>
        <w:instrText xml:space="preserve"> PAGEREF _Toc20423 \h </w:instrText>
      </w:r>
      <w:r>
        <w:fldChar w:fldCharType="separate"/>
      </w:r>
      <w:r>
        <w:t>2</w:t>
      </w:r>
      <w:r>
        <w:rPr>
          <w:rFonts w:hint="eastAsia"/>
        </w:rPr>
        <w:t>3</w:t>
      </w:r>
      <w:r>
        <w:fldChar w:fldCharType="end"/>
      </w:r>
      <w:r>
        <w:fldChar w:fldCharType="end"/>
      </w:r>
    </w:p>
    <w:p w14:paraId="77ACA3FB">
      <w:pPr>
        <w:pStyle w:val="40"/>
        <w:tabs>
          <w:tab w:val="right" w:leader="dot" w:pos="9185"/>
        </w:tabs>
      </w:pPr>
      <w:r>
        <w:fldChar w:fldCharType="begin"/>
      </w:r>
      <w:r>
        <w:instrText xml:space="preserve"> HYPERLINK \l "_Toc17854" </w:instrText>
      </w:r>
      <w:r>
        <w:fldChar w:fldCharType="separate"/>
      </w:r>
      <w:r>
        <w:rPr>
          <w:rFonts w:hint="eastAsia" w:ascii="宋体" w:hAnsi="宋体" w:cs="宋体"/>
          <w:szCs w:val="24"/>
        </w:rPr>
        <w:t>4.2 技术评分标准（30分）</w:t>
      </w:r>
      <w:r>
        <w:tab/>
      </w:r>
      <w:r>
        <w:fldChar w:fldCharType="begin"/>
      </w:r>
      <w:r>
        <w:instrText xml:space="preserve"> PAGEREF _Toc17854 \h </w:instrText>
      </w:r>
      <w:r>
        <w:fldChar w:fldCharType="separate"/>
      </w:r>
      <w:r>
        <w:t>2</w:t>
      </w:r>
      <w:r>
        <w:rPr>
          <w:rFonts w:hint="eastAsia"/>
        </w:rPr>
        <w:t>4</w:t>
      </w:r>
      <w:r>
        <w:fldChar w:fldCharType="end"/>
      </w:r>
      <w:r>
        <w:fldChar w:fldCharType="end"/>
      </w:r>
    </w:p>
    <w:p w14:paraId="351BC028">
      <w:pPr>
        <w:pStyle w:val="40"/>
        <w:tabs>
          <w:tab w:val="right" w:leader="dot" w:pos="9185"/>
        </w:tabs>
      </w:pPr>
      <w:r>
        <w:fldChar w:fldCharType="begin"/>
      </w:r>
      <w:r>
        <w:instrText xml:space="preserve"> HYPERLINK \l "_Toc2195" </w:instrText>
      </w:r>
      <w:r>
        <w:fldChar w:fldCharType="separate"/>
      </w:r>
      <w:r>
        <w:rPr>
          <w:rFonts w:hint="eastAsia" w:ascii="宋体" w:hAnsi="宋体" w:cs="宋体"/>
          <w:szCs w:val="24"/>
        </w:rPr>
        <w:t>4.3 投标报价评分标准（满分60分）</w:t>
      </w:r>
      <w:r>
        <w:tab/>
      </w:r>
      <w:r>
        <w:fldChar w:fldCharType="begin"/>
      </w:r>
      <w:r>
        <w:instrText xml:space="preserve"> PAGEREF _Toc2195 \h </w:instrText>
      </w:r>
      <w:r>
        <w:fldChar w:fldCharType="separate"/>
      </w:r>
      <w:r>
        <w:t>2</w:t>
      </w:r>
      <w:r>
        <w:rPr>
          <w:rFonts w:hint="eastAsia"/>
        </w:rPr>
        <w:t>4</w:t>
      </w:r>
      <w:r>
        <w:fldChar w:fldCharType="end"/>
      </w:r>
      <w:r>
        <w:fldChar w:fldCharType="end"/>
      </w:r>
    </w:p>
    <w:p w14:paraId="04A78EA2">
      <w:pPr>
        <w:pStyle w:val="40"/>
        <w:tabs>
          <w:tab w:val="right" w:leader="dot" w:pos="9185"/>
        </w:tabs>
      </w:pPr>
      <w:r>
        <w:fldChar w:fldCharType="begin"/>
      </w:r>
      <w:r>
        <w:instrText xml:space="preserve"> HYPERLINK \l "_Toc21525" </w:instrText>
      </w:r>
      <w:r>
        <w:fldChar w:fldCharType="separate"/>
      </w:r>
      <w:r>
        <w:rPr>
          <w:rFonts w:hint="eastAsia" w:ascii="宋体" w:hAnsi="宋体" w:cs="宋体"/>
          <w:szCs w:val="24"/>
        </w:rPr>
        <w:t>4.4 评标结果</w:t>
      </w:r>
      <w:r>
        <w:tab/>
      </w:r>
      <w:r>
        <w:fldChar w:fldCharType="begin"/>
      </w:r>
      <w:r>
        <w:instrText xml:space="preserve"> PAGEREF _Toc21525 \h </w:instrText>
      </w:r>
      <w:r>
        <w:fldChar w:fldCharType="separate"/>
      </w:r>
      <w:r>
        <w:t>2</w:t>
      </w:r>
      <w:r>
        <w:rPr>
          <w:rFonts w:hint="eastAsia"/>
        </w:rPr>
        <w:t>5</w:t>
      </w:r>
      <w:r>
        <w:fldChar w:fldCharType="end"/>
      </w:r>
      <w:r>
        <w:fldChar w:fldCharType="end"/>
      </w:r>
    </w:p>
    <w:p w14:paraId="2B1796FF">
      <w:pPr>
        <w:pStyle w:val="34"/>
        <w:tabs>
          <w:tab w:val="right" w:leader="dot" w:pos="9185"/>
        </w:tabs>
      </w:pPr>
      <w:r>
        <w:fldChar w:fldCharType="begin"/>
      </w:r>
      <w:r>
        <w:instrText xml:space="preserve"> HYPERLINK \l "_Toc28415" </w:instrText>
      </w:r>
      <w:r>
        <w:fldChar w:fldCharType="separate"/>
      </w:r>
      <w:r>
        <w:rPr>
          <w:rFonts w:hint="eastAsia" w:ascii="宋体" w:hAnsi="宋体" w:eastAsia="宋体" w:cs="宋体"/>
          <w:szCs w:val="32"/>
        </w:rPr>
        <w:t>第四章 合同主要条款及合同文本格式</w:t>
      </w:r>
      <w:r>
        <w:tab/>
      </w:r>
      <w:r>
        <w:fldChar w:fldCharType="begin"/>
      </w:r>
      <w:r>
        <w:instrText xml:space="preserve"> PAGEREF _Toc28415 \h </w:instrText>
      </w:r>
      <w:r>
        <w:fldChar w:fldCharType="separate"/>
      </w:r>
      <w:r>
        <w:t>2</w:t>
      </w:r>
      <w:r>
        <w:rPr>
          <w:rFonts w:hint="eastAsia"/>
        </w:rPr>
        <w:t>6</w:t>
      </w:r>
      <w:r>
        <w:fldChar w:fldCharType="end"/>
      </w:r>
      <w:r>
        <w:fldChar w:fldCharType="end"/>
      </w:r>
    </w:p>
    <w:p w14:paraId="43088CAD">
      <w:pPr>
        <w:pStyle w:val="40"/>
        <w:tabs>
          <w:tab w:val="right" w:leader="dot" w:pos="9185"/>
        </w:tabs>
      </w:pPr>
      <w:r>
        <w:fldChar w:fldCharType="begin"/>
      </w:r>
      <w:r>
        <w:instrText xml:space="preserve"> HYPERLINK \l "_Toc14750" </w:instrText>
      </w:r>
      <w:r>
        <w:fldChar w:fldCharType="separate"/>
      </w:r>
      <w:r>
        <w:rPr>
          <w:rFonts w:hint="eastAsia" w:ascii="宋体" w:hAnsi="宋体" w:cs="宋体"/>
          <w:szCs w:val="24"/>
        </w:rPr>
        <w:t>详见附件4-1： 《飞灰固化处理服务合同》</w:t>
      </w:r>
      <w:r>
        <w:tab/>
      </w:r>
      <w:r>
        <w:fldChar w:fldCharType="begin"/>
      </w:r>
      <w:r>
        <w:instrText xml:space="preserve"> PAGEREF _Toc14750 \h </w:instrText>
      </w:r>
      <w:r>
        <w:fldChar w:fldCharType="separate"/>
      </w:r>
      <w:r>
        <w:t>2</w:t>
      </w:r>
      <w:r>
        <w:rPr>
          <w:rFonts w:hint="eastAsia"/>
        </w:rPr>
        <w:t>7</w:t>
      </w:r>
      <w:r>
        <w:fldChar w:fldCharType="end"/>
      </w:r>
      <w:r>
        <w:fldChar w:fldCharType="end"/>
      </w:r>
    </w:p>
    <w:p w14:paraId="3A09B319">
      <w:pPr>
        <w:pStyle w:val="34"/>
        <w:tabs>
          <w:tab w:val="right" w:leader="dot" w:pos="9185"/>
        </w:tabs>
      </w:pPr>
      <w:r>
        <w:fldChar w:fldCharType="begin"/>
      </w:r>
      <w:r>
        <w:instrText xml:space="preserve"> HYPERLINK \l "_Toc3228" </w:instrText>
      </w:r>
      <w:r>
        <w:fldChar w:fldCharType="separate"/>
      </w:r>
      <w:r>
        <w:rPr>
          <w:rFonts w:hint="eastAsia" w:ascii="宋体" w:hAnsi="宋体" w:eastAsia="宋体" w:cs="宋体"/>
          <w:szCs w:val="32"/>
        </w:rPr>
        <w:t>第五章  投标文件格式</w:t>
      </w:r>
      <w:r>
        <w:tab/>
      </w:r>
      <w:r>
        <w:rPr>
          <w:rFonts w:hint="eastAsia"/>
        </w:rPr>
        <w:t>4</w:t>
      </w:r>
      <w:r>
        <w:rPr>
          <w:rFonts w:hint="eastAsia"/>
        </w:rPr>
        <w:fldChar w:fldCharType="end"/>
      </w:r>
      <w:r>
        <w:rPr>
          <w:rFonts w:hint="eastAsia"/>
        </w:rPr>
        <w:t>0</w:t>
      </w:r>
    </w:p>
    <w:p w14:paraId="21288F4A">
      <w:pPr>
        <w:pStyle w:val="40"/>
        <w:tabs>
          <w:tab w:val="right" w:leader="dot" w:pos="9185"/>
        </w:tabs>
      </w:pPr>
      <w:r>
        <w:fldChar w:fldCharType="begin"/>
      </w:r>
      <w:r>
        <w:instrText xml:space="preserve"> HYPERLINK \l "_Toc11331" </w:instrText>
      </w:r>
      <w:r>
        <w:fldChar w:fldCharType="separate"/>
      </w:r>
      <w:r>
        <w:rPr>
          <w:rFonts w:hint="eastAsia" w:ascii="宋体" w:hAnsi="宋体" w:eastAsia="宋体" w:cs="宋体"/>
          <w:bCs/>
          <w:szCs w:val="28"/>
          <w:lang w:val="zh-CN"/>
        </w:rPr>
        <w:t>1.</w:t>
      </w:r>
      <w:r>
        <w:rPr>
          <w:rFonts w:hint="eastAsia" w:ascii="宋体" w:hAnsi="宋体" w:eastAsia="宋体" w:cs="宋体"/>
          <w:szCs w:val="28"/>
        </w:rPr>
        <w:t>投标函的格式和内容</w:t>
      </w:r>
      <w:r>
        <w:tab/>
      </w:r>
      <w:r>
        <w:rPr>
          <w:rFonts w:hint="eastAsia"/>
        </w:rPr>
        <w:t>4</w:t>
      </w:r>
      <w:r>
        <w:rPr>
          <w:rFonts w:hint="eastAsia"/>
        </w:rPr>
        <w:fldChar w:fldCharType="end"/>
      </w:r>
      <w:r>
        <w:rPr>
          <w:rFonts w:hint="eastAsia"/>
        </w:rPr>
        <w:t>0</w:t>
      </w:r>
    </w:p>
    <w:p w14:paraId="2C0DCF1E">
      <w:pPr>
        <w:pStyle w:val="40"/>
        <w:tabs>
          <w:tab w:val="right" w:leader="dot" w:pos="9185"/>
        </w:tabs>
      </w:pPr>
      <w:r>
        <w:fldChar w:fldCharType="begin"/>
      </w:r>
      <w:r>
        <w:instrText xml:space="preserve"> HYPERLINK \l "_Toc12251" </w:instrText>
      </w:r>
      <w:r>
        <w:fldChar w:fldCharType="separate"/>
      </w:r>
      <w:r>
        <w:rPr>
          <w:rFonts w:hint="eastAsia" w:ascii="宋体" w:hAnsi="宋体" w:eastAsia="宋体" w:cs="宋体"/>
          <w:bCs/>
          <w:szCs w:val="28"/>
          <w:lang w:val="zh-CN"/>
        </w:rPr>
        <w:t>2.投标商资质文件的格式和内容</w:t>
      </w:r>
      <w:r>
        <w:tab/>
      </w:r>
      <w:r>
        <w:rPr>
          <w:rFonts w:hint="eastAsia"/>
        </w:rPr>
        <w:t>5</w:t>
      </w:r>
      <w:r>
        <w:rPr>
          <w:rFonts w:hint="eastAsia"/>
        </w:rPr>
        <w:fldChar w:fldCharType="end"/>
      </w:r>
      <w:r>
        <w:rPr>
          <w:rFonts w:hint="eastAsia"/>
        </w:rPr>
        <w:t>0</w:t>
      </w:r>
    </w:p>
    <w:p w14:paraId="28CF8572">
      <w:pPr>
        <w:pStyle w:val="40"/>
        <w:tabs>
          <w:tab w:val="right" w:leader="dot" w:pos="9185"/>
        </w:tabs>
      </w:pPr>
      <w:r>
        <w:fldChar w:fldCharType="begin"/>
      </w:r>
      <w:r>
        <w:instrText xml:space="preserve"> HYPERLINK \l "_Toc14358" </w:instrText>
      </w:r>
      <w:r>
        <w:fldChar w:fldCharType="separate"/>
      </w:r>
      <w:r>
        <w:rPr>
          <w:rFonts w:hint="eastAsia" w:ascii="宋体" w:hAnsi="宋体" w:eastAsia="宋体" w:cs="宋体"/>
          <w:bCs/>
          <w:szCs w:val="28"/>
          <w:lang w:val="zh-CN"/>
        </w:rPr>
        <w:t>3.技术投标书文件的格式和内容</w:t>
      </w:r>
      <w:r>
        <w:tab/>
      </w:r>
      <w:r>
        <w:rPr>
          <w:rFonts w:hint="eastAsia"/>
        </w:rPr>
        <w:t>5</w:t>
      </w:r>
      <w:r>
        <w:rPr>
          <w:rFonts w:hint="eastAsia"/>
        </w:rPr>
        <w:fldChar w:fldCharType="end"/>
      </w:r>
      <w:r>
        <w:rPr>
          <w:rFonts w:hint="eastAsia"/>
        </w:rPr>
        <w:t>5</w:t>
      </w:r>
    </w:p>
    <w:p w14:paraId="3C3F2E32">
      <w:pPr>
        <w:pStyle w:val="40"/>
        <w:tabs>
          <w:tab w:val="right" w:leader="dot" w:pos="9185"/>
        </w:tabs>
      </w:pPr>
    </w:p>
    <w:p w14:paraId="5EDC0E73">
      <w:pPr>
        <w:spacing w:line="360" w:lineRule="auto"/>
        <w:rPr>
          <w:rFonts w:hint="eastAsia" w:ascii="宋体" w:hAnsi="宋体" w:eastAsia="宋体" w:cs="宋体"/>
          <w:color w:val="000000" w:themeColor="text1"/>
          <w:sz w:val="21"/>
          <w:szCs w:val="21"/>
          <w14:textFill>
            <w14:solidFill>
              <w14:schemeClr w14:val="tx1"/>
            </w14:solidFill>
          </w14:textFill>
        </w:rPr>
        <w:sectPr>
          <w:footerReference r:id="rId6" w:type="default"/>
          <w:pgSz w:w="11907" w:h="16840"/>
          <w:pgMar w:top="1247" w:right="1361" w:bottom="1247" w:left="1361" w:header="720" w:footer="720" w:gutter="0"/>
          <w:pgNumType w:fmt="upperRoman" w:start="1"/>
          <w:cols w:space="720" w:num="1"/>
          <w:docGrid w:linePitch="286" w:charSpace="0"/>
        </w:sectPr>
      </w:pPr>
      <w:r>
        <w:rPr>
          <w:rFonts w:hint="eastAsia" w:ascii="宋体" w:hAnsi="宋体" w:eastAsia="宋体" w:cs="宋体"/>
          <w:color w:val="000000" w:themeColor="text1"/>
          <w:szCs w:val="21"/>
          <w14:textFill>
            <w14:solidFill>
              <w14:schemeClr w14:val="tx1"/>
            </w14:solidFill>
          </w14:textFill>
        </w:rPr>
        <w:fldChar w:fldCharType="end"/>
      </w:r>
    </w:p>
    <w:p w14:paraId="3B234D43">
      <w:pPr>
        <w:pStyle w:val="4"/>
        <w:numPr>
          <w:ilvl w:val="0"/>
          <w:numId w:val="1"/>
        </w:numPr>
        <w:spacing w:before="120" w:beforeLines="50" w:after="120" w:afterLines="50"/>
        <w:ind w:left="1066" w:hanging="1066"/>
        <w:rPr>
          <w:rFonts w:hint="eastAsia" w:ascii="宋体" w:hAnsi="宋体" w:eastAsia="宋体" w:cs="宋体"/>
          <w:color w:val="000000" w:themeColor="text1"/>
          <w:sz w:val="32"/>
          <w:szCs w:val="32"/>
          <w14:textFill>
            <w14:solidFill>
              <w14:schemeClr w14:val="tx1"/>
            </w14:solidFill>
          </w14:textFill>
        </w:rPr>
      </w:pPr>
      <w:bookmarkStart w:id="0" w:name="_Toc176085592"/>
      <w:bookmarkStart w:id="1" w:name="_Toc136173541"/>
      <w:bookmarkStart w:id="2" w:name="_Toc29820"/>
      <w:r>
        <w:rPr>
          <w:rFonts w:hint="eastAsia" w:ascii="宋体" w:hAnsi="宋体" w:eastAsia="宋体" w:cs="宋体"/>
          <w:color w:val="000000" w:themeColor="text1"/>
          <w:sz w:val="32"/>
          <w:szCs w:val="32"/>
          <w14:textFill>
            <w14:solidFill>
              <w14:schemeClr w14:val="tx1"/>
            </w14:solidFill>
          </w14:textFill>
        </w:rPr>
        <w:t>投标邀请</w:t>
      </w:r>
      <w:bookmarkEnd w:id="0"/>
      <w:r>
        <w:rPr>
          <w:rFonts w:hint="eastAsia" w:ascii="宋体" w:hAnsi="宋体" w:eastAsia="宋体" w:cs="宋体"/>
          <w:color w:val="000000" w:themeColor="text1"/>
          <w:sz w:val="32"/>
          <w:szCs w:val="32"/>
          <w14:textFill>
            <w14:solidFill>
              <w14:schemeClr w14:val="tx1"/>
            </w14:solidFill>
          </w14:textFill>
        </w:rPr>
        <w:t>函</w:t>
      </w:r>
      <w:bookmarkEnd w:id="1"/>
      <w:bookmarkEnd w:id="2"/>
    </w:p>
    <w:p w14:paraId="46072AD6">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3" w:name="_Toc136173542"/>
      <w:bookmarkStart w:id="4" w:name="_Toc4645"/>
      <w:r>
        <w:rPr>
          <w:rFonts w:hint="eastAsia" w:ascii="宋体" w:hAnsi="宋体" w:eastAsia="宋体" w:cs="宋体"/>
          <w:b/>
          <w:color w:val="000000" w:themeColor="text1"/>
          <w:szCs w:val="24"/>
          <w14:textFill>
            <w14:solidFill>
              <w14:schemeClr w14:val="tx1"/>
            </w14:solidFill>
          </w14:textFill>
        </w:rPr>
        <w:t>1.招标条件</w:t>
      </w:r>
      <w:bookmarkEnd w:id="3"/>
      <w:bookmarkEnd w:id="4"/>
    </w:p>
    <w:p w14:paraId="1C0330BB">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本招标项目</w:t>
      </w:r>
      <w:r>
        <w:rPr>
          <w:rFonts w:hint="eastAsia" w:ascii="宋体" w:hAnsi="宋体" w:eastAsia="宋体" w:cs="宋体"/>
          <w:b/>
          <w:bCs/>
          <w:color w:val="000000" w:themeColor="text1"/>
          <w:szCs w:val="24"/>
          <w:u w:val="single"/>
          <w14:textFill>
            <w14:solidFill>
              <w14:schemeClr w14:val="tx1"/>
            </w14:solidFill>
          </w14:textFill>
        </w:rPr>
        <w:t>高州市绿能环保发电项目、吴川市环保热力发电项目（以下简称：高州项目、吴川项目）</w:t>
      </w:r>
      <w:r>
        <w:rPr>
          <w:rFonts w:hint="eastAsia" w:ascii="宋体" w:hAnsi="宋体" w:eastAsia="宋体" w:cs="宋体"/>
          <w:color w:val="000000" w:themeColor="text1"/>
          <w:szCs w:val="24"/>
          <w14:textFill>
            <w14:solidFill>
              <w14:schemeClr w14:val="tx1"/>
            </w14:solidFill>
          </w14:textFill>
        </w:rPr>
        <w:t>已具备招标条件，由</w:t>
      </w:r>
      <w:r>
        <w:rPr>
          <w:rFonts w:hint="eastAsia" w:ascii="宋体" w:hAnsi="宋体" w:eastAsia="宋体" w:cs="宋体"/>
          <w:b/>
          <w:bCs/>
          <w:color w:val="000000" w:themeColor="text1"/>
          <w:szCs w:val="24"/>
          <w14:textFill>
            <w14:solidFill>
              <w14:schemeClr w14:val="tx1"/>
            </w14:solidFill>
          </w14:textFill>
        </w:rPr>
        <w:t>深圳市朗坤科技股份有限公司</w:t>
      </w:r>
      <w:r>
        <w:rPr>
          <w:rFonts w:hint="eastAsia" w:ascii="宋体" w:hAnsi="宋体" w:eastAsia="宋体" w:cs="宋体"/>
          <w:color w:val="000000" w:themeColor="text1"/>
          <w:szCs w:val="24"/>
          <w14:textFill>
            <w14:solidFill>
              <w14:schemeClr w14:val="tx1"/>
            </w14:solidFill>
          </w14:textFill>
        </w:rPr>
        <w:t>对2026年度</w:t>
      </w:r>
      <w:r>
        <w:rPr>
          <w:rFonts w:hint="eastAsia"/>
          <w:snapToGrid w:val="0"/>
        </w:rPr>
        <w:t>飞灰固化处理服务</w:t>
      </w:r>
      <w:r>
        <w:rPr>
          <w:rFonts w:hint="eastAsia" w:ascii="宋体" w:hAnsi="宋体" w:eastAsia="宋体" w:cs="宋体"/>
          <w:color w:val="000000" w:themeColor="text1"/>
          <w:szCs w:val="24"/>
          <w14:textFill>
            <w14:solidFill>
              <w14:schemeClr w14:val="tx1"/>
            </w14:solidFill>
          </w14:textFill>
        </w:rPr>
        <w:t>进行招邀标工作。</w:t>
      </w:r>
    </w:p>
    <w:p w14:paraId="4171395F">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5" w:name="_Toc12355"/>
      <w:bookmarkStart w:id="6" w:name="_Toc184635054"/>
      <w:bookmarkStart w:id="7" w:name="_Toc136173543"/>
      <w:r>
        <w:rPr>
          <w:rFonts w:hint="eastAsia" w:ascii="宋体" w:hAnsi="宋体" w:eastAsia="宋体" w:cs="宋体"/>
          <w:b/>
          <w:color w:val="000000" w:themeColor="text1"/>
          <w:szCs w:val="24"/>
          <w14:textFill>
            <w14:solidFill>
              <w14:schemeClr w14:val="tx1"/>
            </w14:solidFill>
          </w14:textFill>
        </w:rPr>
        <w:t>2.项目概况与招标范围</w:t>
      </w:r>
      <w:bookmarkEnd w:id="5"/>
      <w:bookmarkEnd w:id="6"/>
      <w:bookmarkEnd w:id="7"/>
    </w:p>
    <w:p w14:paraId="2FB2B74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2.1高州项目概况</w:t>
      </w:r>
    </w:p>
    <w:p w14:paraId="762DB006">
      <w:pPr>
        <w:spacing w:line="360" w:lineRule="auto"/>
        <w:jc w:val="left"/>
        <w:rPr>
          <w:rFonts w:hint="eastAsia" w:ascii="宋体" w:hAnsi="宋体" w:eastAsia="宋体" w:cs="宋体"/>
          <w:color w:val="000000" w:themeColor="text1"/>
          <w:szCs w:val="24"/>
          <w14:textFill>
            <w14:solidFill>
              <w14:schemeClr w14:val="tx1"/>
            </w14:solidFill>
          </w14:textFill>
        </w:rPr>
      </w:pPr>
      <w:bookmarkStart w:id="8" w:name="_Toc456800166"/>
      <w:bookmarkStart w:id="9" w:name="_Toc456799947"/>
      <w:bookmarkStart w:id="10" w:name="_Toc456800085"/>
      <w:bookmarkStart w:id="11" w:name="_Toc456800136"/>
      <w:bookmarkStart w:id="12" w:name="_Toc456800242"/>
      <w:bookmarkStart w:id="13" w:name="_Toc456799687"/>
      <w:bookmarkStart w:id="14" w:name="_Toc456799795"/>
      <w:r>
        <w:rPr>
          <w:rFonts w:hint="eastAsia" w:ascii="宋体" w:hAnsi="宋体" w:eastAsia="宋体" w:cs="宋体"/>
          <w:color w:val="000000" w:themeColor="text1"/>
          <w:szCs w:val="24"/>
          <w14:textFill>
            <w14:solidFill>
              <w14:schemeClr w14:val="tx1"/>
            </w14:solidFill>
          </w14:textFill>
        </w:rPr>
        <w:t>2.1.1项目名称</w:t>
      </w:r>
    </w:p>
    <w:p w14:paraId="51C6CDD7">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(1)高州市绿能环保发电厂,(2)吴川市环保热力发电厂。</w:t>
      </w:r>
    </w:p>
    <w:p w14:paraId="52D38E17">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2.1.2项目地点</w:t>
      </w:r>
    </w:p>
    <w:p w14:paraId="18FEF228">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cs="宋体"/>
          <w:color w:val="000000"/>
          <w:szCs w:val="21"/>
        </w:rPr>
        <w:t>(1)高州市绿能环保发电厂及配套设施项目内,(2)</w:t>
      </w:r>
      <w:r>
        <w:rPr>
          <w:rFonts w:hint="eastAsia" w:hAnsi="宋体"/>
          <w:color w:val="000000"/>
          <w:kern w:val="28"/>
        </w:rPr>
        <w:t>吴川市</w:t>
      </w:r>
      <w:r>
        <w:rPr>
          <w:rFonts w:hint="eastAsia"/>
          <w:snapToGrid w:val="0"/>
        </w:rPr>
        <w:t>环保热力发电厂</w:t>
      </w:r>
      <w:r>
        <w:rPr>
          <w:rFonts w:hint="eastAsia" w:ascii="宋体" w:hAnsi="宋体" w:cs="宋体"/>
          <w:color w:val="000000"/>
          <w:szCs w:val="21"/>
        </w:rPr>
        <w:t>及配套设施项目内</w:t>
      </w:r>
      <w:r>
        <w:rPr>
          <w:rFonts w:hint="eastAsia" w:ascii="宋体" w:hAnsi="宋体" w:eastAsia="宋体" w:cs="宋体"/>
          <w:color w:val="000000" w:themeColor="text1"/>
          <w:szCs w:val="24"/>
          <w14:textFill>
            <w14:solidFill>
              <w14:schemeClr w14:val="tx1"/>
            </w14:solidFill>
          </w14:textFill>
        </w:rPr>
        <w:t>。</w:t>
      </w:r>
    </w:p>
    <w:p w14:paraId="079CAE4B">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2.1.3工程规模</w:t>
      </w:r>
    </w:p>
    <w:p w14:paraId="20D72AD8">
      <w:pPr>
        <w:pStyle w:val="2"/>
        <w:ind w:firstLine="241"/>
        <w:rPr>
          <w:b/>
          <w:bCs/>
        </w:rPr>
      </w:pPr>
      <w:r>
        <w:rPr>
          <w:rFonts w:hint="eastAsia"/>
          <w:b/>
          <w:bCs/>
        </w:rPr>
        <w:t>朗坤环保能源（茂名）有限公司：（高州项目）</w:t>
      </w:r>
    </w:p>
    <w:p w14:paraId="799371C3">
      <w:pPr>
        <w:numPr>
          <w:ilvl w:val="0"/>
          <w:numId w:val="2"/>
        </w:numPr>
        <w:spacing w:line="360" w:lineRule="auto"/>
        <w:ind w:firstLine="482" w:firstLineChars="200"/>
        <w:jc w:val="left"/>
        <w:rPr>
          <w:rFonts w:hint="eastAsia" w:ascii="宋体" w:hAnsi="宋体" w:eastAsia="宋体" w:cs="宋体"/>
          <w:b/>
          <w:bCs/>
          <w:color w:val="000000" w:themeColor="text1"/>
          <w:szCs w:val="24"/>
          <w14:textFill>
            <w14:solidFill>
              <w14:schemeClr w14:val="tx1"/>
            </w14:solidFill>
          </w14:textFill>
        </w:rPr>
      </w:pPr>
      <w:r>
        <w:rPr>
          <w:rFonts w:ascii="宋体" w:hAnsi="宋体" w:eastAsia="宋体" w:cs="宋体"/>
          <w:b/>
          <w:bCs/>
          <w:color w:val="000000" w:themeColor="text1"/>
          <w:szCs w:val="24"/>
          <w14:textFill>
            <w14:solidFill>
              <w14:schemeClr w14:val="tx1"/>
            </w14:solidFill>
          </w14:textFill>
        </w:rPr>
        <w:t>基本情况：</w:t>
      </w:r>
    </w:p>
    <w:p w14:paraId="2880491E">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高州市绿能环保发电厂配套设施项目</w:t>
      </w:r>
      <w:r>
        <w:rPr>
          <w:rFonts w:ascii="宋体" w:hAnsi="宋体" w:eastAsia="宋体" w:cs="宋体"/>
          <w:color w:val="000000" w:themeColor="text1"/>
          <w:szCs w:val="24"/>
          <w14:textFill>
            <w14:solidFill>
              <w14:schemeClr w14:val="tx1"/>
            </w14:solidFill>
          </w14:textFill>
        </w:rPr>
        <w:t>总规模为日处理生活垃圾</w:t>
      </w:r>
      <w:r>
        <w:rPr>
          <w:rFonts w:hint="eastAsia" w:ascii="宋体" w:hAnsi="宋体" w:eastAsia="宋体" w:cs="宋体"/>
          <w:color w:val="000000" w:themeColor="text1"/>
          <w:szCs w:val="24"/>
          <w14:textFill>
            <w14:solidFill>
              <w14:schemeClr w14:val="tx1"/>
            </w14:solidFill>
          </w14:textFill>
        </w:rPr>
        <w:t>12</w:t>
      </w:r>
      <w:r>
        <w:rPr>
          <w:rFonts w:ascii="宋体" w:hAnsi="宋体" w:eastAsia="宋体" w:cs="宋体"/>
          <w:color w:val="000000" w:themeColor="text1"/>
          <w:szCs w:val="24"/>
          <w14:textFill>
            <w14:solidFill>
              <w14:schemeClr w14:val="tx1"/>
            </w14:solidFill>
          </w14:textFill>
        </w:rPr>
        <w:t>00吨（最大1</w:t>
      </w:r>
      <w:r>
        <w:rPr>
          <w:rFonts w:hint="eastAsia" w:ascii="宋体" w:hAnsi="宋体" w:eastAsia="宋体" w:cs="宋体"/>
          <w:color w:val="000000" w:themeColor="text1"/>
          <w:szCs w:val="24"/>
          <w14:textFill>
            <w14:solidFill>
              <w14:schemeClr w14:val="tx1"/>
            </w14:solidFill>
          </w14:textFill>
        </w:rPr>
        <w:t>6</w:t>
      </w:r>
      <w:r>
        <w:rPr>
          <w:rFonts w:ascii="宋体" w:hAnsi="宋体" w:eastAsia="宋体" w:cs="宋体"/>
          <w:color w:val="000000" w:themeColor="text1"/>
          <w:szCs w:val="24"/>
          <w14:textFill>
            <w14:solidFill>
              <w14:schemeClr w14:val="tx1"/>
            </w14:solidFill>
          </w14:textFill>
        </w:rPr>
        <w:t>00吨），配置2条</w:t>
      </w:r>
      <w:r>
        <w:rPr>
          <w:rFonts w:hint="eastAsia" w:ascii="宋体" w:hAnsi="宋体" w:eastAsia="宋体" w:cs="宋体"/>
          <w:color w:val="000000" w:themeColor="text1"/>
          <w:szCs w:val="24"/>
          <w14:textFill>
            <w14:solidFill>
              <w14:schemeClr w14:val="tx1"/>
            </w14:solidFill>
          </w14:textFill>
        </w:rPr>
        <w:t>6</w:t>
      </w:r>
      <w:r>
        <w:rPr>
          <w:rFonts w:ascii="宋体" w:hAnsi="宋体" w:eastAsia="宋体" w:cs="宋体"/>
          <w:color w:val="000000" w:themeColor="text1"/>
          <w:szCs w:val="24"/>
          <w14:textFill>
            <w14:solidFill>
              <w14:schemeClr w14:val="tx1"/>
            </w14:solidFill>
          </w14:textFill>
        </w:rPr>
        <w:t>00吨/日（最大</w:t>
      </w:r>
      <w:r>
        <w:rPr>
          <w:rFonts w:hint="eastAsia" w:ascii="宋体" w:hAnsi="宋体" w:eastAsia="宋体" w:cs="宋体"/>
          <w:color w:val="000000" w:themeColor="text1"/>
          <w:szCs w:val="24"/>
          <w14:textFill>
            <w14:solidFill>
              <w14:schemeClr w14:val="tx1"/>
            </w14:solidFill>
          </w14:textFill>
        </w:rPr>
        <w:t>6</w:t>
      </w:r>
      <w:r>
        <w:rPr>
          <w:rFonts w:ascii="宋体" w:hAnsi="宋体" w:eastAsia="宋体" w:cs="宋体"/>
          <w:color w:val="000000" w:themeColor="text1"/>
          <w:szCs w:val="24"/>
          <w14:textFill>
            <w14:solidFill>
              <w14:schemeClr w14:val="tx1"/>
            </w14:solidFill>
          </w14:textFill>
        </w:rPr>
        <w:t>00吨）的机械炉排焚烧炉和1台</w:t>
      </w:r>
      <w:r>
        <w:rPr>
          <w:rFonts w:hint="eastAsia" w:ascii="宋体" w:hAnsi="宋体" w:eastAsia="宋体" w:cs="宋体"/>
          <w:color w:val="000000" w:themeColor="text1"/>
          <w:szCs w:val="24"/>
          <w14:textFill>
            <w14:solidFill>
              <w14:schemeClr w14:val="tx1"/>
            </w14:solidFill>
          </w14:textFill>
        </w:rPr>
        <w:t>25</w:t>
      </w:r>
      <w:r>
        <w:rPr>
          <w:rFonts w:ascii="宋体" w:hAnsi="宋体" w:eastAsia="宋体" w:cs="宋体"/>
          <w:color w:val="000000" w:themeColor="text1"/>
          <w:szCs w:val="24"/>
          <w14:textFill>
            <w14:solidFill>
              <w14:schemeClr w14:val="tx1"/>
            </w14:solidFill>
          </w14:textFill>
        </w:rPr>
        <w:t>MW凝汽式汽轮发电机组</w:t>
      </w:r>
      <w:r>
        <w:rPr>
          <w:rFonts w:hint="eastAsia" w:ascii="宋体" w:hAnsi="宋体" w:eastAsia="宋体" w:cs="宋体"/>
          <w:color w:val="000000" w:themeColor="text1"/>
          <w:szCs w:val="24"/>
          <w14:textFill>
            <w14:solidFill>
              <w14:schemeClr w14:val="tx1"/>
            </w14:solidFill>
          </w14:textFill>
        </w:rPr>
        <w:t>，</w:t>
      </w:r>
      <w:r>
        <w:rPr>
          <w:rFonts w:ascii="宋体" w:hAnsi="宋体" w:eastAsia="宋体" w:cs="宋体"/>
          <w:color w:val="000000" w:themeColor="text1"/>
          <w:szCs w:val="24"/>
          <w14:textFill>
            <w14:solidFill>
              <w14:schemeClr w14:val="tx1"/>
            </w14:solidFill>
          </w14:textFill>
        </w:rPr>
        <w:t>预计日产飞灰量约</w:t>
      </w:r>
      <w:r>
        <w:rPr>
          <w:rFonts w:hint="eastAsia" w:ascii="宋体" w:hAnsi="宋体" w:eastAsia="宋体" w:cs="宋体"/>
          <w:color w:val="000000" w:themeColor="text1"/>
          <w:szCs w:val="24"/>
          <w14:textFill>
            <w14:solidFill>
              <w14:schemeClr w14:val="tx1"/>
            </w14:solidFill>
          </w14:textFill>
        </w:rPr>
        <w:t>30</w:t>
      </w:r>
      <w:r>
        <w:rPr>
          <w:rFonts w:ascii="宋体" w:hAnsi="宋体" w:eastAsia="宋体" w:cs="宋体"/>
          <w:color w:val="000000" w:themeColor="text1"/>
          <w:szCs w:val="24"/>
          <w14:textFill>
            <w14:solidFill>
              <w14:schemeClr w14:val="tx1"/>
            </w14:solidFill>
          </w14:textFill>
        </w:rPr>
        <w:t>吨，年产生飞灰量约</w:t>
      </w:r>
      <w:r>
        <w:rPr>
          <w:rFonts w:hint="eastAsia" w:ascii="宋体" w:hAnsi="宋体" w:eastAsia="宋体" w:cs="宋体"/>
          <w:color w:val="000000" w:themeColor="text1"/>
          <w:szCs w:val="24"/>
          <w14:textFill>
            <w14:solidFill>
              <w14:schemeClr w14:val="tx1"/>
            </w14:solidFill>
          </w14:textFill>
        </w:rPr>
        <w:t>1.1</w:t>
      </w:r>
      <w:r>
        <w:rPr>
          <w:rFonts w:ascii="宋体" w:hAnsi="宋体" w:eastAsia="宋体" w:cs="宋体"/>
          <w:color w:val="000000" w:themeColor="text1"/>
          <w:szCs w:val="24"/>
          <w14:textFill>
            <w14:solidFill>
              <w14:schemeClr w14:val="tx1"/>
            </w14:solidFill>
          </w14:textFill>
        </w:rPr>
        <w:t>万吨（飞灰产生量随季节、垃圾成份、</w:t>
      </w:r>
      <w:r>
        <w:rPr>
          <w:rFonts w:hint="eastAsia" w:ascii="宋体" w:hAnsi="宋体" w:eastAsia="宋体" w:cs="宋体"/>
          <w:color w:val="000000" w:themeColor="text1"/>
          <w:szCs w:val="24"/>
          <w14:textFill>
            <w14:solidFill>
              <w14:schemeClr w14:val="tx1"/>
            </w14:solidFill>
          </w14:textFill>
        </w:rPr>
        <w:t>陈腐垃圾</w:t>
      </w:r>
      <w:r>
        <w:rPr>
          <w:rFonts w:ascii="宋体" w:hAnsi="宋体" w:eastAsia="宋体" w:cs="宋体"/>
          <w:color w:val="000000" w:themeColor="text1"/>
          <w:szCs w:val="24"/>
          <w14:textFill>
            <w14:solidFill>
              <w14:schemeClr w14:val="tx1"/>
            </w14:solidFill>
          </w14:textFill>
        </w:rPr>
        <w:t>惨烧量等因素变化，最终以实际量为准），飞灰固化物（螯合处理后）最终以实际计量为准。</w:t>
      </w:r>
    </w:p>
    <w:p w14:paraId="5C81C05D">
      <w:pPr>
        <w:spacing w:line="360" w:lineRule="auto"/>
        <w:ind w:firstLine="241" w:firstLineChars="100"/>
        <w:jc w:val="left"/>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（2）</w:t>
      </w:r>
      <w:r>
        <w:rPr>
          <w:rFonts w:ascii="宋体" w:hAnsi="宋体" w:eastAsia="宋体" w:cs="宋体"/>
          <w:b/>
          <w:bCs/>
          <w:color w:val="000000" w:themeColor="text1"/>
          <w:szCs w:val="24"/>
          <w14:textFill>
            <w14:solidFill>
              <w14:schemeClr w14:val="tx1"/>
            </w14:solidFill>
          </w14:textFill>
        </w:rPr>
        <w:t>烟气净化工艺：</w:t>
      </w:r>
    </w:p>
    <w:p w14:paraId="78BDA006">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高州市绿能环保发电厂配套设施项目</w:t>
      </w:r>
      <w:r>
        <w:rPr>
          <w:rFonts w:ascii="宋体" w:hAnsi="宋体" w:eastAsia="宋体" w:cs="宋体"/>
          <w:color w:val="000000" w:themeColor="text1"/>
          <w:szCs w:val="24"/>
          <w14:textFill>
            <w14:solidFill>
              <w14:schemeClr w14:val="tx1"/>
            </w14:solidFill>
          </w14:textFill>
        </w:rPr>
        <w:t>烟气净化均采用“SNCR</w:t>
      </w:r>
      <w:r>
        <w:rPr>
          <w:rFonts w:hint="eastAsia" w:ascii="宋体" w:hAnsi="宋体" w:eastAsia="宋体" w:cs="宋体"/>
          <w:color w:val="000000" w:themeColor="text1"/>
          <w:szCs w:val="24"/>
          <w14:textFill>
            <w14:solidFill>
              <w14:schemeClr w14:val="tx1"/>
            </w14:solidFill>
          </w14:textFill>
        </w:rPr>
        <w:t>炉内脱销</w:t>
      </w:r>
      <w:r>
        <w:rPr>
          <w:rFonts w:ascii="宋体" w:hAnsi="宋体" w:eastAsia="宋体" w:cs="宋体"/>
          <w:color w:val="000000" w:themeColor="text1"/>
          <w:szCs w:val="24"/>
          <w14:textFill>
            <w14:solidFill>
              <w14:schemeClr w14:val="tx1"/>
            </w14:solidFill>
          </w14:textFill>
        </w:rPr>
        <w:t>＋半干</w:t>
      </w:r>
      <w:r>
        <w:rPr>
          <w:rFonts w:hint="eastAsia" w:ascii="宋体" w:hAnsi="宋体" w:eastAsia="宋体" w:cs="宋体"/>
          <w:color w:val="000000" w:themeColor="text1"/>
          <w:szCs w:val="24"/>
          <w14:textFill>
            <w14:solidFill>
              <w14:schemeClr w14:val="tx1"/>
            </w14:solidFill>
          </w14:textFill>
        </w:rPr>
        <w:t>式脱酸</w:t>
      </w:r>
      <w:r>
        <w:rPr>
          <w:rFonts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干法喷射+</w:t>
      </w:r>
      <w:r>
        <w:rPr>
          <w:rFonts w:ascii="宋体" w:hAnsi="宋体" w:eastAsia="宋体" w:cs="宋体"/>
          <w:color w:val="000000" w:themeColor="text1"/>
          <w:szCs w:val="24"/>
          <w14:textFill>
            <w14:solidFill>
              <w14:schemeClr w14:val="tx1"/>
            </w14:solidFill>
          </w14:textFill>
        </w:rPr>
        <w:t>活性炭吸附＋袋式除尘器”。</w:t>
      </w:r>
    </w:p>
    <w:p w14:paraId="1DB10A21">
      <w:pPr>
        <w:spacing w:line="360" w:lineRule="auto"/>
        <w:ind w:firstLine="241" w:firstLineChars="1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w:t>
      </w:r>
      <w:r>
        <w:rPr>
          <w:rFonts w:ascii="宋体" w:hAnsi="宋体" w:eastAsia="宋体" w:cs="宋体"/>
          <w:b/>
          <w:bCs/>
          <w:color w:val="000000" w:themeColor="text1"/>
          <w:szCs w:val="24"/>
          <w14:textFill>
            <w14:solidFill>
              <w14:schemeClr w14:val="tx1"/>
            </w14:solidFill>
          </w14:textFill>
        </w:rPr>
        <w:t>飞灰处理工艺</w:t>
      </w:r>
      <w:r>
        <w:rPr>
          <w:rFonts w:ascii="宋体" w:hAnsi="宋体" w:eastAsia="宋体" w:cs="宋体"/>
          <w:color w:val="000000" w:themeColor="text1"/>
          <w:szCs w:val="24"/>
          <w14:textFill>
            <w14:solidFill>
              <w14:schemeClr w14:val="tx1"/>
            </w14:solidFill>
          </w14:textFill>
        </w:rPr>
        <w:t>：</w:t>
      </w:r>
    </w:p>
    <w:p w14:paraId="2BDE68E2">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sectPr>
          <w:footerReference r:id="rId7" w:type="default"/>
          <w:pgSz w:w="11907" w:h="16840"/>
          <w:pgMar w:top="1247" w:right="1361" w:bottom="1247" w:left="1361" w:header="720" w:footer="720" w:gutter="0"/>
          <w:pgNumType w:start="1"/>
          <w:cols w:space="720" w:num="1"/>
          <w:docGrid w:linePitch="286" w:charSpace="0"/>
        </w:sectPr>
      </w:pPr>
      <w:r>
        <w:rPr>
          <w:rFonts w:ascii="宋体" w:hAnsi="宋体" w:eastAsia="宋体" w:cs="宋体"/>
          <w:color w:val="000000" w:themeColor="text1"/>
          <w:szCs w:val="24"/>
          <w14:textFill>
            <w14:solidFill>
              <w14:schemeClr w14:val="tx1"/>
            </w14:solidFill>
          </w14:textFill>
        </w:rPr>
        <w:t>稳定固化方式采用“以螯合剂作为稳定化和固化材料”将飞灰和螯合剂结合实际特性定量混合，对重金属和有毒有害污染物固定稳定化，搅拌处理后的飞灰通过下灰口装入吨袋，然后转运至飞灰暂存间，将飞灰吨袋堆放在飞灰暂存间保养3～7天，各项指标</w:t>
      </w:r>
    </w:p>
    <w:p w14:paraId="0E6A783A">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szCs w:val="24"/>
          <w14:textFill>
            <w14:solidFill>
              <w14:schemeClr w14:val="tx1"/>
            </w14:solidFill>
          </w14:textFill>
        </w:rPr>
        <w:t>检测合格后装车送往</w:t>
      </w:r>
      <w:r>
        <w:rPr>
          <w:rFonts w:hint="eastAsia" w:ascii="宋体" w:hAnsi="宋体" w:eastAsia="宋体" w:cs="宋体"/>
          <w:color w:val="000000" w:themeColor="text1"/>
          <w:szCs w:val="24"/>
          <w14:textFill>
            <w14:solidFill>
              <w14:schemeClr w14:val="tx1"/>
            </w14:solidFill>
          </w14:textFill>
        </w:rPr>
        <w:t>厂区外</w:t>
      </w:r>
      <w:r>
        <w:rPr>
          <w:rFonts w:ascii="宋体" w:hAnsi="宋体" w:eastAsia="宋体" w:cs="宋体"/>
          <w:color w:val="000000" w:themeColor="text1"/>
          <w:szCs w:val="24"/>
          <w14:textFill>
            <w14:solidFill>
              <w14:schemeClr w14:val="tx1"/>
            </w14:solidFill>
          </w14:textFill>
        </w:rPr>
        <w:t>填埋场安全填埋。</w:t>
      </w:r>
    </w:p>
    <w:p w14:paraId="2592FF8C">
      <w:pPr>
        <w:pStyle w:val="2"/>
        <w:ind w:firstLine="241"/>
        <w:rPr>
          <w:rFonts w:hint="eastAsia"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湛江市朗坤环保能源有限公司：（吴川项目）</w:t>
      </w:r>
    </w:p>
    <w:p w14:paraId="1362535C">
      <w:pPr>
        <w:numPr>
          <w:ilvl w:val="0"/>
          <w:numId w:val="3"/>
        </w:numPr>
        <w:spacing w:line="360" w:lineRule="auto"/>
        <w:ind w:firstLine="482" w:firstLineChars="200"/>
        <w:jc w:val="left"/>
        <w:rPr>
          <w:rFonts w:hint="eastAsia" w:ascii="宋体" w:hAnsi="宋体" w:eastAsia="宋体" w:cs="宋体"/>
          <w:b/>
          <w:bCs/>
          <w:color w:val="000000" w:themeColor="text1"/>
          <w:szCs w:val="24"/>
          <w14:textFill>
            <w14:solidFill>
              <w14:schemeClr w14:val="tx1"/>
            </w14:solidFill>
          </w14:textFill>
        </w:rPr>
      </w:pPr>
      <w:r>
        <w:rPr>
          <w:rFonts w:ascii="宋体" w:hAnsi="宋体" w:eastAsia="宋体" w:cs="宋体"/>
          <w:b/>
          <w:bCs/>
          <w:color w:val="000000" w:themeColor="text1"/>
          <w:szCs w:val="24"/>
          <w14:textFill>
            <w14:solidFill>
              <w14:schemeClr w14:val="tx1"/>
            </w14:solidFill>
          </w14:textFill>
        </w:rPr>
        <w:t>基本情况：</w:t>
      </w:r>
    </w:p>
    <w:p w14:paraId="3E24BE6C">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吴川市环保热力发电厂配套设施项目</w:t>
      </w:r>
      <w:r>
        <w:rPr>
          <w:rFonts w:ascii="宋体" w:hAnsi="宋体" w:eastAsia="宋体" w:cs="宋体"/>
          <w:color w:val="000000" w:themeColor="text1"/>
          <w:szCs w:val="24"/>
          <w14:textFill>
            <w14:solidFill>
              <w14:schemeClr w14:val="tx1"/>
            </w14:solidFill>
          </w14:textFill>
        </w:rPr>
        <w:t>总规模为日处理生活垃圾</w:t>
      </w:r>
      <w:r>
        <w:rPr>
          <w:rFonts w:hint="eastAsia" w:ascii="宋体" w:hAnsi="宋体" w:eastAsia="宋体" w:cs="宋体"/>
          <w:color w:val="000000" w:themeColor="text1"/>
          <w:szCs w:val="24"/>
          <w14:textFill>
            <w14:solidFill>
              <w14:schemeClr w14:val="tx1"/>
            </w14:solidFill>
          </w14:textFill>
        </w:rPr>
        <w:t>10</w:t>
      </w:r>
      <w:r>
        <w:rPr>
          <w:rFonts w:ascii="宋体" w:hAnsi="宋体" w:eastAsia="宋体" w:cs="宋体"/>
          <w:color w:val="000000" w:themeColor="text1"/>
          <w:szCs w:val="24"/>
          <w14:textFill>
            <w14:solidFill>
              <w14:schemeClr w14:val="tx1"/>
            </w14:solidFill>
          </w14:textFill>
        </w:rPr>
        <w:t>00吨（最大1</w:t>
      </w:r>
      <w:r>
        <w:rPr>
          <w:rFonts w:hint="eastAsia" w:ascii="宋体" w:hAnsi="宋体" w:eastAsia="宋体" w:cs="宋体"/>
          <w:color w:val="000000" w:themeColor="text1"/>
          <w:szCs w:val="24"/>
          <w14:textFill>
            <w14:solidFill>
              <w14:schemeClr w14:val="tx1"/>
            </w14:solidFill>
          </w14:textFill>
        </w:rPr>
        <w:t>2</w:t>
      </w:r>
      <w:r>
        <w:rPr>
          <w:rFonts w:ascii="宋体" w:hAnsi="宋体" w:eastAsia="宋体" w:cs="宋体"/>
          <w:color w:val="000000" w:themeColor="text1"/>
          <w:szCs w:val="24"/>
          <w14:textFill>
            <w14:solidFill>
              <w14:schemeClr w14:val="tx1"/>
            </w14:solidFill>
          </w14:textFill>
        </w:rPr>
        <w:t>00吨），配置2条</w:t>
      </w:r>
      <w:r>
        <w:rPr>
          <w:rFonts w:hint="eastAsia" w:ascii="宋体" w:hAnsi="宋体" w:eastAsia="宋体" w:cs="宋体"/>
          <w:color w:val="000000" w:themeColor="text1"/>
          <w:szCs w:val="24"/>
          <w14:textFill>
            <w14:solidFill>
              <w14:schemeClr w14:val="tx1"/>
            </w14:solidFill>
          </w14:textFill>
        </w:rPr>
        <w:t>5</w:t>
      </w:r>
      <w:r>
        <w:rPr>
          <w:rFonts w:ascii="宋体" w:hAnsi="宋体" w:eastAsia="宋体" w:cs="宋体"/>
          <w:color w:val="000000" w:themeColor="text1"/>
          <w:szCs w:val="24"/>
          <w14:textFill>
            <w14:solidFill>
              <w14:schemeClr w14:val="tx1"/>
            </w14:solidFill>
          </w14:textFill>
        </w:rPr>
        <w:t>00吨/日（最大</w:t>
      </w:r>
      <w:r>
        <w:rPr>
          <w:rFonts w:hint="eastAsia" w:ascii="宋体" w:hAnsi="宋体" w:eastAsia="宋体" w:cs="宋体"/>
          <w:color w:val="000000" w:themeColor="text1"/>
          <w:szCs w:val="24"/>
          <w14:textFill>
            <w14:solidFill>
              <w14:schemeClr w14:val="tx1"/>
            </w14:solidFill>
          </w14:textFill>
        </w:rPr>
        <w:t>6</w:t>
      </w:r>
      <w:r>
        <w:rPr>
          <w:rFonts w:ascii="宋体" w:hAnsi="宋体" w:eastAsia="宋体" w:cs="宋体"/>
          <w:color w:val="000000" w:themeColor="text1"/>
          <w:szCs w:val="24"/>
          <w14:textFill>
            <w14:solidFill>
              <w14:schemeClr w14:val="tx1"/>
            </w14:solidFill>
          </w14:textFill>
        </w:rPr>
        <w:t>00吨）的机械炉排焚烧炉和1台18MW凝汽式汽轮发电机组</w:t>
      </w:r>
      <w:r>
        <w:rPr>
          <w:rFonts w:hint="eastAsia" w:ascii="宋体" w:hAnsi="宋体" w:eastAsia="宋体" w:cs="宋体"/>
          <w:color w:val="000000" w:themeColor="text1"/>
          <w:szCs w:val="24"/>
          <w14:textFill>
            <w14:solidFill>
              <w14:schemeClr w14:val="tx1"/>
            </w14:solidFill>
          </w14:textFill>
        </w:rPr>
        <w:t>，</w:t>
      </w:r>
      <w:r>
        <w:rPr>
          <w:rFonts w:ascii="宋体" w:hAnsi="宋体" w:eastAsia="宋体" w:cs="宋体"/>
          <w:color w:val="000000" w:themeColor="text1"/>
          <w:szCs w:val="24"/>
          <w14:textFill>
            <w14:solidFill>
              <w14:schemeClr w14:val="tx1"/>
            </w14:solidFill>
          </w14:textFill>
        </w:rPr>
        <w:t>预计日产飞灰量约</w:t>
      </w:r>
      <w:r>
        <w:rPr>
          <w:rFonts w:hint="eastAsia" w:ascii="宋体" w:hAnsi="宋体" w:eastAsia="宋体" w:cs="宋体"/>
          <w:color w:val="000000" w:themeColor="text1"/>
          <w:szCs w:val="24"/>
          <w14:textFill>
            <w14:solidFill>
              <w14:schemeClr w14:val="tx1"/>
            </w14:solidFill>
          </w14:textFill>
        </w:rPr>
        <w:t>30</w:t>
      </w:r>
      <w:r>
        <w:rPr>
          <w:rFonts w:ascii="宋体" w:hAnsi="宋体" w:eastAsia="宋体" w:cs="宋体"/>
          <w:color w:val="000000" w:themeColor="text1"/>
          <w:szCs w:val="24"/>
          <w14:textFill>
            <w14:solidFill>
              <w14:schemeClr w14:val="tx1"/>
            </w14:solidFill>
          </w14:textFill>
        </w:rPr>
        <w:t>吨，年产生飞灰量约</w:t>
      </w:r>
      <w:r>
        <w:rPr>
          <w:rFonts w:hint="eastAsia" w:ascii="宋体" w:hAnsi="宋体" w:eastAsia="宋体" w:cs="宋体"/>
          <w:color w:val="000000" w:themeColor="text1"/>
          <w:szCs w:val="24"/>
          <w14:textFill>
            <w14:solidFill>
              <w14:schemeClr w14:val="tx1"/>
            </w14:solidFill>
          </w14:textFill>
        </w:rPr>
        <w:t>1.1</w:t>
      </w:r>
      <w:r>
        <w:rPr>
          <w:rFonts w:ascii="宋体" w:hAnsi="宋体" w:eastAsia="宋体" w:cs="宋体"/>
          <w:color w:val="000000" w:themeColor="text1"/>
          <w:szCs w:val="24"/>
          <w14:textFill>
            <w14:solidFill>
              <w14:schemeClr w14:val="tx1"/>
            </w14:solidFill>
          </w14:textFill>
        </w:rPr>
        <w:t>万吨（飞灰产生量随季节、垃圾成份、</w:t>
      </w:r>
      <w:r>
        <w:rPr>
          <w:rFonts w:hint="eastAsia" w:ascii="宋体" w:hAnsi="宋体" w:eastAsia="宋体" w:cs="宋体"/>
          <w:color w:val="000000" w:themeColor="text1"/>
          <w:szCs w:val="24"/>
          <w14:textFill>
            <w14:solidFill>
              <w14:schemeClr w14:val="tx1"/>
            </w14:solidFill>
          </w14:textFill>
        </w:rPr>
        <w:t>陈腐垃圾</w:t>
      </w:r>
      <w:r>
        <w:rPr>
          <w:rFonts w:ascii="宋体" w:hAnsi="宋体" w:eastAsia="宋体" w:cs="宋体"/>
          <w:color w:val="000000" w:themeColor="text1"/>
          <w:szCs w:val="24"/>
          <w14:textFill>
            <w14:solidFill>
              <w14:schemeClr w14:val="tx1"/>
            </w14:solidFill>
          </w14:textFill>
        </w:rPr>
        <w:t>惨烧量等因素变化，最终以实际量为准），飞灰固化物（螯合处理后）最终以实际计量为准。</w:t>
      </w:r>
    </w:p>
    <w:p w14:paraId="22AA1273">
      <w:pPr>
        <w:spacing w:line="360" w:lineRule="auto"/>
        <w:ind w:firstLine="482"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（2）</w:t>
      </w:r>
      <w:r>
        <w:rPr>
          <w:rFonts w:ascii="宋体" w:hAnsi="宋体" w:eastAsia="宋体" w:cs="宋体"/>
          <w:b/>
          <w:bCs/>
          <w:color w:val="000000" w:themeColor="text1"/>
          <w:szCs w:val="24"/>
          <w14:textFill>
            <w14:solidFill>
              <w14:schemeClr w14:val="tx1"/>
            </w14:solidFill>
          </w14:textFill>
        </w:rPr>
        <w:t>烟气净化工艺</w:t>
      </w:r>
      <w:r>
        <w:rPr>
          <w:rFonts w:ascii="宋体" w:hAnsi="宋体" w:eastAsia="宋体" w:cs="宋体"/>
          <w:color w:val="000000" w:themeColor="text1"/>
          <w:szCs w:val="24"/>
          <w14:textFill>
            <w14:solidFill>
              <w14:schemeClr w14:val="tx1"/>
            </w14:solidFill>
          </w14:textFill>
        </w:rPr>
        <w:t>：</w:t>
      </w:r>
    </w:p>
    <w:p w14:paraId="719277C0">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吴川市环保热力发电厂配套设施项目</w:t>
      </w:r>
      <w:r>
        <w:rPr>
          <w:rFonts w:ascii="宋体" w:hAnsi="宋体" w:eastAsia="宋体" w:cs="宋体"/>
          <w:color w:val="000000" w:themeColor="text1"/>
          <w:szCs w:val="24"/>
          <w14:textFill>
            <w14:solidFill>
              <w14:schemeClr w14:val="tx1"/>
            </w14:solidFill>
          </w14:textFill>
        </w:rPr>
        <w:t>烟气净化均采用“SNCR</w:t>
      </w:r>
      <w:r>
        <w:rPr>
          <w:rFonts w:hint="eastAsia" w:ascii="宋体" w:hAnsi="宋体" w:eastAsia="宋体" w:cs="宋体"/>
          <w:color w:val="000000" w:themeColor="text1"/>
          <w:szCs w:val="24"/>
          <w14:textFill>
            <w14:solidFill>
              <w14:schemeClr w14:val="tx1"/>
            </w14:solidFill>
          </w14:textFill>
        </w:rPr>
        <w:t>炉内脱销</w:t>
      </w:r>
      <w:r>
        <w:rPr>
          <w:rFonts w:ascii="宋体" w:hAnsi="宋体" w:eastAsia="宋体" w:cs="宋体"/>
          <w:color w:val="000000" w:themeColor="text1"/>
          <w:szCs w:val="24"/>
          <w14:textFill>
            <w14:solidFill>
              <w14:schemeClr w14:val="tx1"/>
            </w14:solidFill>
          </w14:textFill>
        </w:rPr>
        <w:t>＋半干</w:t>
      </w:r>
      <w:r>
        <w:rPr>
          <w:rFonts w:hint="eastAsia" w:ascii="宋体" w:hAnsi="宋体" w:eastAsia="宋体" w:cs="宋体"/>
          <w:color w:val="000000" w:themeColor="text1"/>
          <w:szCs w:val="24"/>
          <w14:textFill>
            <w14:solidFill>
              <w14:schemeClr w14:val="tx1"/>
            </w14:solidFill>
          </w14:textFill>
        </w:rPr>
        <w:t>式脱酸</w:t>
      </w:r>
      <w:r>
        <w:rPr>
          <w:rFonts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干法喷射+</w:t>
      </w:r>
      <w:r>
        <w:rPr>
          <w:rFonts w:ascii="宋体" w:hAnsi="宋体" w:eastAsia="宋体" w:cs="宋体"/>
          <w:color w:val="000000" w:themeColor="text1"/>
          <w:szCs w:val="24"/>
          <w14:textFill>
            <w14:solidFill>
              <w14:schemeClr w14:val="tx1"/>
            </w14:solidFill>
          </w14:textFill>
        </w:rPr>
        <w:t>活性炭吸附＋袋式除尘器”。</w:t>
      </w:r>
    </w:p>
    <w:p w14:paraId="1B0906E0">
      <w:pPr>
        <w:spacing w:line="360" w:lineRule="auto"/>
        <w:ind w:firstLine="482" w:firstLineChars="200"/>
        <w:jc w:val="left"/>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w:t>
      </w:r>
      <w:r>
        <w:rPr>
          <w:rFonts w:ascii="宋体" w:hAnsi="宋体" w:eastAsia="宋体" w:cs="宋体"/>
          <w:b/>
          <w:bCs/>
          <w:color w:val="000000" w:themeColor="text1"/>
          <w:szCs w:val="24"/>
          <w14:textFill>
            <w14:solidFill>
              <w14:schemeClr w14:val="tx1"/>
            </w14:solidFill>
          </w14:textFill>
        </w:rPr>
        <w:t>飞灰处理工艺：</w:t>
      </w:r>
    </w:p>
    <w:p w14:paraId="4459783F">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szCs w:val="24"/>
          <w14:textFill>
            <w14:solidFill>
              <w14:schemeClr w14:val="tx1"/>
            </w14:solidFill>
          </w14:textFill>
        </w:rPr>
        <w:t>稳定固化方式采用“以螯合剂作为稳定化和固化材料”将飞灰和螯合剂结合实际特性定量混合，对重金属和有毒有害污染物固定稳定化，搅拌处理后的飞灰通过下灰口装入吨袋，然后转运至飞灰暂存间，将飞灰吨袋堆放在飞灰暂存间保养3～7天，各项指标检测合格后装车送往</w:t>
      </w:r>
      <w:r>
        <w:rPr>
          <w:rFonts w:hint="eastAsia" w:ascii="宋体" w:hAnsi="宋体" w:eastAsia="宋体" w:cs="宋体"/>
          <w:color w:val="000000" w:themeColor="text1"/>
          <w:szCs w:val="24"/>
          <w14:textFill>
            <w14:solidFill>
              <w14:schemeClr w14:val="tx1"/>
            </w14:solidFill>
          </w14:textFill>
        </w:rPr>
        <w:t>厂区外</w:t>
      </w:r>
      <w:r>
        <w:rPr>
          <w:rFonts w:ascii="宋体" w:hAnsi="宋体" w:eastAsia="宋体" w:cs="宋体"/>
          <w:color w:val="000000" w:themeColor="text1"/>
          <w:szCs w:val="24"/>
          <w14:textFill>
            <w14:solidFill>
              <w14:schemeClr w14:val="tx1"/>
            </w14:solidFill>
          </w14:textFill>
        </w:rPr>
        <w:t>填埋场安全填埋。</w:t>
      </w:r>
    </w:p>
    <w:p w14:paraId="3766DD8E">
      <w:pPr>
        <w:spacing w:line="360" w:lineRule="auto"/>
        <w:jc w:val="left"/>
        <w:rPr>
          <w:rFonts w:hint="eastAsia" w:ascii="宋体" w:hAnsi="宋体" w:eastAsia="宋体" w:cs="宋体"/>
          <w:color w:val="000000" w:themeColor="text1"/>
          <w:szCs w:val="24"/>
          <w:highlight w:val="green"/>
          <w14:textFill>
            <w14:solidFill>
              <w14:schemeClr w14:val="tx1"/>
            </w14:solidFill>
          </w14:textFill>
        </w:rPr>
      </w:pPr>
      <w:r>
        <w:rPr>
          <w:rFonts w:hint="eastAsia" w:ascii="宋体" w:hAnsi="宋体" w:eastAsia="宋体" w:cs="宋体"/>
          <w:color w:val="000000" w:themeColor="text1"/>
          <w:szCs w:val="24"/>
          <w:highlight w:val="green"/>
          <w14:textFill>
            <w14:solidFill>
              <w14:schemeClr w14:val="tx1"/>
            </w14:solidFill>
          </w14:textFill>
        </w:rPr>
        <w:t>2.2招标范围</w:t>
      </w:r>
    </w:p>
    <w:p w14:paraId="004E742B">
      <w:pPr>
        <w:snapToGrid w:val="0"/>
        <w:spacing w:line="360" w:lineRule="auto"/>
        <w:ind w:firstLine="480" w:firstLineChars="200"/>
        <w:rPr>
          <w:rFonts w:hint="eastAsia" w:ascii="宋体" w:hAnsi="宋体" w:eastAsia="宋体" w:cs="宋体"/>
          <w:color w:val="000000"/>
          <w:szCs w:val="21"/>
        </w:rPr>
      </w:pPr>
      <w:bookmarkStart w:id="15" w:name="_Toc136173544"/>
      <w:bookmarkStart w:id="16" w:name="_Toc16651"/>
      <w:r>
        <w:rPr>
          <w:rFonts w:hint="eastAsia" w:ascii="宋体" w:hAnsi="宋体" w:cs="宋体"/>
          <w:szCs w:val="21"/>
        </w:rPr>
        <w:t>2.2.1</w:t>
      </w:r>
      <w:r>
        <w:rPr>
          <w:rFonts w:ascii="宋体" w:hAnsi="宋体" w:eastAsia="宋体" w:cs="宋体"/>
          <w:color w:val="000000"/>
          <w:szCs w:val="21"/>
        </w:rPr>
        <w:t>投标人按照环保要求合法合规的对招标人生产过程中收集的飞灰提供飞灰稳定固化处理运营服务，包括：制定飞灰稳定固化处理方案、提供稳定化螯合处理所使用的药剂、吨袋及转运所用的叉车（含燃料）；负责飞灰螯合的运行操作及堵灰时的处理、飞灰稳定化车间和暂存间内所有设施、设备的日常运营、维护、维修及保养。</w:t>
      </w:r>
    </w:p>
    <w:p w14:paraId="5CCB5875">
      <w:pPr>
        <w:snapToGrid w:val="0"/>
        <w:spacing w:line="360" w:lineRule="auto"/>
        <w:ind w:firstLine="480" w:firstLineChars="200"/>
        <w:rPr>
          <w:rFonts w:hint="eastAsia" w:ascii="宋体" w:hAnsi="宋体" w:eastAsia="宋体" w:cs="宋体"/>
          <w:color w:val="000000"/>
          <w:szCs w:val="21"/>
        </w:rPr>
      </w:pPr>
      <w:r>
        <w:rPr>
          <w:rFonts w:hint="eastAsia" w:ascii="宋体" w:hAnsi="宋体" w:eastAsia="宋体" w:cs="宋体"/>
          <w:color w:val="000000"/>
          <w:szCs w:val="21"/>
        </w:rPr>
        <w:t>2.2.2</w:t>
      </w:r>
      <w:r>
        <w:rPr>
          <w:rFonts w:ascii="宋体" w:hAnsi="宋体" w:eastAsia="宋体" w:cs="宋体"/>
          <w:color w:val="000000"/>
          <w:szCs w:val="21"/>
        </w:rPr>
        <w:t>负责飞灰螯合生产数据填报和资料建档、原灰定期检测及调整加药方案；负责场地清扫及保洁区域内沟池的清理、飞灰稳定化后的包装、厂内转移等所有的运营服务及耗材供给。</w:t>
      </w:r>
    </w:p>
    <w:p w14:paraId="000D5B3F">
      <w:pPr>
        <w:snapToGrid w:val="0"/>
        <w:spacing w:line="360" w:lineRule="auto"/>
        <w:ind w:firstLine="480" w:firstLineChars="200"/>
        <w:rPr>
          <w:rFonts w:hint="eastAsia" w:ascii="宋体" w:hAnsi="宋体" w:cs="宋体"/>
          <w:szCs w:val="21"/>
        </w:rPr>
      </w:pPr>
      <w:r>
        <w:rPr>
          <w:rFonts w:hint="eastAsia"/>
        </w:rPr>
        <w:t>2.2.3人员要求：项目经理（1人），飞灰稳定化操作及设备维护区域卫生人员（3人），飞灰仓转运兼职叉车司机人员（1人），共计5人，</w:t>
      </w:r>
      <w:r>
        <w:rPr>
          <w:rFonts w:hint="eastAsia" w:ascii="宋体" w:hAnsi="宋体" w:cs="宋体"/>
          <w:szCs w:val="21"/>
        </w:rPr>
        <w:t>年龄不超55岁。</w:t>
      </w:r>
    </w:p>
    <w:p w14:paraId="1B72407A">
      <w:pPr>
        <w:ind w:firstLine="480" w:firstLineChars="200"/>
        <w:textAlignment w:val="center"/>
        <w:rPr>
          <w:rFonts w:hint="eastAsia" w:ascii="宋体" w:hAnsi="宋体" w:cs="宋体"/>
          <w:szCs w:val="21"/>
        </w:rPr>
      </w:pPr>
      <w:r>
        <w:rPr>
          <w:rFonts w:hint="eastAsia" w:ascii="宋体" w:hAnsi="宋体" w:cs="宋体"/>
          <w:szCs w:val="21"/>
        </w:rPr>
        <w:t>2.2.4 机械配置要求：叉车1台以上（驶人持证上岗，车辆保险符合要求，载重量3.5吨及以上叉车，起升高度不低于4.5米）。</w:t>
      </w:r>
    </w:p>
    <w:p w14:paraId="092051D4">
      <w:pPr>
        <w:tabs>
          <w:tab w:val="left" w:pos="900"/>
          <w:tab w:val="left" w:pos="1100"/>
        </w:tabs>
        <w:spacing w:line="360" w:lineRule="auto"/>
        <w:ind w:firstLine="482" w:firstLineChars="20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2.2.5保险及人员年龄要求：</w:t>
      </w:r>
      <w:r>
        <w:rPr>
          <w:rFonts w:hint="eastAsia" w:ascii="微软雅黑" w:hAnsi="微软雅黑" w:eastAsia="微软雅黑" w:cs="微软雅黑"/>
        </w:rPr>
        <w:t>①</w:t>
      </w:r>
      <w:r>
        <w:rPr>
          <w:rFonts w:hint="eastAsia" w:ascii="宋体" w:hAnsi="宋体" w:eastAsia="宋体" w:cs="宋体"/>
          <w:b/>
          <w:color w:val="000000" w:themeColor="text1"/>
          <w:szCs w:val="24"/>
          <w14:textFill>
            <w14:solidFill>
              <w14:schemeClr w14:val="tx1"/>
            </w14:solidFill>
          </w14:textFill>
        </w:rPr>
        <w:t>工伤或意外身故保额不低于100万元人民币。</w:t>
      </w:r>
      <w:r>
        <w:rPr>
          <w:rFonts w:hint="eastAsia" w:ascii="微软雅黑" w:hAnsi="微软雅黑" w:eastAsia="微软雅黑" w:cs="微软雅黑"/>
        </w:rPr>
        <w:t>②</w:t>
      </w:r>
      <w:r>
        <w:rPr>
          <w:rFonts w:hint="eastAsia" w:ascii="宋体" w:hAnsi="宋体" w:eastAsia="宋体" w:cs="宋体"/>
          <w:b/>
          <w:color w:val="000000" w:themeColor="text1"/>
          <w:szCs w:val="24"/>
          <w14:textFill>
            <w14:solidFill>
              <w14:schemeClr w14:val="tx1"/>
            </w14:solidFill>
          </w14:textFill>
        </w:rPr>
        <w:t xml:space="preserve"> 现场操作人员和机械驾驶员年龄不超55岁 。  </w:t>
      </w:r>
    </w:p>
    <w:p w14:paraId="37EFFA66">
      <w:pPr>
        <w:snapToGrid w:val="0"/>
        <w:spacing w:line="360" w:lineRule="auto"/>
        <w:ind w:firstLine="482" w:firstLineChars="200"/>
        <w:rPr>
          <w:rFonts w:hint="eastAsia" w:ascii="宋体" w:hAnsi="宋体" w:eastAsia="宋体" w:cs="宋体"/>
          <w:b/>
          <w:bCs/>
          <w:color w:val="000000"/>
          <w:szCs w:val="21"/>
        </w:rPr>
      </w:pPr>
      <w:r>
        <w:rPr>
          <w:rFonts w:hint="eastAsia" w:ascii="宋体" w:hAnsi="宋体" w:eastAsia="宋体" w:cs="宋体"/>
          <w:b/>
          <w:bCs/>
          <w:color w:val="000000"/>
          <w:szCs w:val="21"/>
        </w:rPr>
        <w:t>2.2.6</w:t>
      </w:r>
      <w:r>
        <w:rPr>
          <w:rFonts w:ascii="宋体" w:hAnsi="宋体" w:eastAsia="宋体" w:cs="宋体"/>
          <w:b/>
          <w:bCs/>
          <w:color w:val="000000"/>
          <w:szCs w:val="21"/>
        </w:rPr>
        <w:t>具体内容详见：飞灰固化（稳定化）技术</w:t>
      </w:r>
      <w:r>
        <w:rPr>
          <w:rFonts w:hint="eastAsia" w:ascii="宋体" w:hAnsi="宋体" w:eastAsia="宋体" w:cs="宋体"/>
          <w:b/>
          <w:bCs/>
          <w:color w:val="000000"/>
          <w:szCs w:val="21"/>
        </w:rPr>
        <w:t>规范书</w:t>
      </w:r>
      <w:r>
        <w:rPr>
          <w:rFonts w:ascii="宋体" w:hAnsi="宋体" w:eastAsia="宋体" w:cs="宋体"/>
          <w:b/>
          <w:bCs/>
          <w:color w:val="000000"/>
          <w:szCs w:val="21"/>
        </w:rPr>
        <w:t>（以下简称为《技术</w:t>
      </w:r>
      <w:r>
        <w:rPr>
          <w:rFonts w:hint="eastAsia" w:ascii="宋体" w:hAnsi="宋体" w:eastAsia="宋体" w:cs="宋体"/>
          <w:b/>
          <w:bCs/>
          <w:color w:val="000000"/>
          <w:szCs w:val="21"/>
        </w:rPr>
        <w:t>规范书</w:t>
      </w:r>
      <w:r>
        <w:rPr>
          <w:rFonts w:ascii="宋体" w:hAnsi="宋体" w:eastAsia="宋体" w:cs="宋体"/>
          <w:b/>
          <w:bCs/>
          <w:color w:val="000000"/>
          <w:szCs w:val="21"/>
        </w:rPr>
        <w:t>》）。</w:t>
      </w:r>
    </w:p>
    <w:p w14:paraId="0C65E05E">
      <w:pPr>
        <w:tabs>
          <w:tab w:val="left" w:pos="900"/>
          <w:tab w:val="left" w:pos="1100"/>
        </w:tabs>
        <w:spacing w:line="360" w:lineRule="auto"/>
        <w:ind w:firstLine="482" w:firstLineChars="20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 xml:space="preserve">                                                                                                                                                                         </w:t>
      </w:r>
    </w:p>
    <w:p w14:paraId="3B5D2A4D">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3.资金来源</w:t>
      </w:r>
      <w:bookmarkEnd w:id="15"/>
      <w:bookmarkEnd w:id="16"/>
    </w:p>
    <w:p w14:paraId="002C8FA3">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3.1资金来源：企业自筹。</w:t>
      </w:r>
    </w:p>
    <w:p w14:paraId="488F148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3.2资金落实情况：筹备完成。</w:t>
      </w:r>
    </w:p>
    <w:p w14:paraId="3412DD8D">
      <w:pPr>
        <w:numPr>
          <w:ilvl w:val="0"/>
          <w:numId w:val="4"/>
        </w:numPr>
        <w:autoSpaceDE w:val="0"/>
        <w:autoSpaceDN w:val="0"/>
        <w:spacing w:before="120" w:after="120" w:afterLines="50" w:line="360" w:lineRule="auto"/>
        <w:jc w:val="left"/>
        <w:outlineLvl w:val="0"/>
        <w:rPr>
          <w:rFonts w:hint="eastAsia" w:ascii="宋体" w:hAnsi="宋体" w:eastAsia="宋体" w:cs="宋体"/>
          <w:b/>
          <w:szCs w:val="24"/>
        </w:rPr>
      </w:pPr>
      <w:bookmarkStart w:id="17" w:name="_Toc7160"/>
      <w:bookmarkStart w:id="18" w:name="_Toc136173545"/>
      <w:r>
        <w:rPr>
          <w:rFonts w:hint="eastAsia" w:ascii="宋体" w:hAnsi="宋体" w:eastAsia="宋体" w:cs="宋体"/>
          <w:b/>
          <w:szCs w:val="24"/>
        </w:rPr>
        <w:t>合同</w:t>
      </w:r>
      <w:bookmarkEnd w:id="17"/>
      <w:bookmarkEnd w:id="18"/>
      <w:r>
        <w:rPr>
          <w:rFonts w:hint="eastAsia" w:ascii="宋体" w:hAnsi="宋体" w:eastAsia="宋体" w:cs="宋体"/>
          <w:b/>
          <w:szCs w:val="24"/>
        </w:rPr>
        <w:t>期限</w:t>
      </w:r>
    </w:p>
    <w:p w14:paraId="52CA4B07">
      <w:pPr>
        <w:numPr>
          <w:ilvl w:val="1"/>
          <w:numId w:val="4"/>
        </w:num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szCs w:val="24"/>
          <w:highlight w:val="yellow"/>
        </w:rPr>
        <w:t>1年，</w:t>
      </w:r>
      <w:r>
        <w:rPr>
          <w:rFonts w:hint="eastAsia" w:ascii="宋体" w:hAnsi="宋体" w:eastAsia="宋体"/>
          <w:highlight w:val="yellow"/>
        </w:rPr>
        <w:t>2026年1月1日至2026年12月31日。</w:t>
      </w:r>
      <w:bookmarkStart w:id="19" w:name="_Toc470006775"/>
    </w:p>
    <w:p w14:paraId="35AD3F75">
      <w:pPr>
        <w:numPr>
          <w:ilvl w:val="0"/>
          <w:numId w:val="4"/>
        </w:numPr>
        <w:spacing w:line="360" w:lineRule="auto"/>
        <w:jc w:val="left"/>
        <w:rPr>
          <w:rFonts w:hint="eastAsia" w:ascii="宋体" w:hAnsi="宋体" w:eastAsia="宋体" w:cs="宋体"/>
          <w:b/>
          <w:bCs/>
          <w:color w:val="000000" w:themeColor="text1"/>
          <w:szCs w:val="24"/>
          <w14:textFill>
            <w14:solidFill>
              <w14:schemeClr w14:val="tx1"/>
            </w14:solidFill>
          </w14:textFill>
        </w:rPr>
      </w:pPr>
      <w:bookmarkStart w:id="20" w:name="_Toc9479"/>
      <w:bookmarkStart w:id="21" w:name="_Toc136173547"/>
      <w:r>
        <w:rPr>
          <w:rFonts w:hint="eastAsia" w:ascii="宋体" w:hAnsi="宋体" w:eastAsia="宋体" w:cs="宋体"/>
          <w:b/>
          <w:bCs/>
          <w:color w:val="000000" w:themeColor="text1"/>
          <w:szCs w:val="24"/>
          <w14:textFill>
            <w14:solidFill>
              <w14:schemeClr w14:val="tx1"/>
            </w14:solidFill>
          </w14:textFill>
        </w:rPr>
        <w:t>投标人资格要求</w:t>
      </w:r>
      <w:bookmarkEnd w:id="19"/>
      <w:bookmarkEnd w:id="20"/>
      <w:bookmarkEnd w:id="21"/>
    </w:p>
    <w:p w14:paraId="52684544">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5.1</w:t>
      </w:r>
      <w:r>
        <w:rPr>
          <w:rFonts w:ascii="宋体" w:hAnsi="宋体" w:eastAsia="宋体" w:cs="宋体"/>
          <w:color w:val="000000" w:themeColor="text1"/>
          <w:szCs w:val="24"/>
          <w14:textFill>
            <w14:solidFill>
              <w14:schemeClr w14:val="tx1"/>
            </w14:solidFill>
          </w14:textFill>
        </w:rPr>
        <w:t>营业执照：投标人应具有中华人民共和国境内注册的独立法人资格并具备独立承担民事责任的能力，提供合法有效的营业执照。</w:t>
      </w:r>
    </w:p>
    <w:p w14:paraId="053632C6">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5.2</w:t>
      </w:r>
      <w:r>
        <w:rPr>
          <w:rFonts w:ascii="宋体" w:hAnsi="宋体" w:eastAsia="宋体" w:cs="宋体"/>
          <w:color w:val="000000" w:themeColor="text1"/>
          <w:szCs w:val="24"/>
          <w14:textFill>
            <w14:solidFill>
              <w14:schemeClr w14:val="tx1"/>
            </w14:solidFill>
          </w14:textFill>
        </w:rPr>
        <w:t>业绩要求：投标人20</w:t>
      </w:r>
      <w:r>
        <w:rPr>
          <w:rFonts w:hint="eastAsia" w:ascii="宋体" w:hAnsi="宋体" w:eastAsia="宋体" w:cs="宋体"/>
          <w:color w:val="000000" w:themeColor="text1"/>
          <w:szCs w:val="24"/>
          <w14:textFill>
            <w14:solidFill>
              <w14:schemeClr w14:val="tx1"/>
            </w14:solidFill>
          </w14:textFill>
        </w:rPr>
        <w:t>20</w:t>
      </w:r>
      <w:r>
        <w:rPr>
          <w:rFonts w:ascii="宋体" w:hAnsi="宋体" w:eastAsia="宋体" w:cs="宋体"/>
          <w:color w:val="000000" w:themeColor="text1"/>
          <w:szCs w:val="24"/>
          <w14:textFill>
            <w14:solidFill>
              <w14:schemeClr w14:val="tx1"/>
            </w14:solidFill>
          </w14:textFill>
        </w:rPr>
        <w:t>年1月1日至投标截止时间（以合同签订时间为准），具有2个日处理</w:t>
      </w:r>
      <w:r>
        <w:rPr>
          <w:rFonts w:hint="eastAsia" w:ascii="宋体" w:hAnsi="宋体" w:eastAsia="宋体" w:cs="宋体"/>
          <w:color w:val="000000" w:themeColor="text1"/>
          <w:szCs w:val="24"/>
          <w14:textFill>
            <w14:solidFill>
              <w14:schemeClr w14:val="tx1"/>
            </w14:solidFill>
          </w14:textFill>
        </w:rPr>
        <w:t>5</w:t>
      </w:r>
      <w:r>
        <w:rPr>
          <w:rFonts w:ascii="宋体" w:hAnsi="宋体" w:eastAsia="宋体" w:cs="宋体"/>
          <w:color w:val="000000" w:themeColor="text1"/>
          <w:szCs w:val="24"/>
          <w14:textFill>
            <w14:solidFill>
              <w14:schemeClr w14:val="tx1"/>
            </w14:solidFill>
          </w14:textFill>
        </w:rPr>
        <w:t>00吨及以上垃圾焚烧厂飞灰鳌合固化处理服务业绩（垃圾焚烧电厂飞灰固化生产运营业绩），须提供业绩合同复印件并加盖投标人公章。注：合同须附合同关键页（封面页、工作内容页、规模（金额）页以及签章页等）</w:t>
      </w:r>
    </w:p>
    <w:p w14:paraId="0B468D15">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5.3</w:t>
      </w:r>
      <w:r>
        <w:rPr>
          <w:rFonts w:ascii="宋体" w:hAnsi="宋体" w:eastAsia="宋体" w:cs="宋体"/>
          <w:color w:val="000000" w:themeColor="text1"/>
          <w:szCs w:val="24"/>
          <w14:textFill>
            <w14:solidFill>
              <w14:schemeClr w14:val="tx1"/>
            </w14:solidFill>
          </w14:textFill>
        </w:rPr>
        <w:t>信誉要求：(1)投标人具有良好的银行资信和商业信誉，没有处于被责令停业或破产状态，且资产未被重组、接管和冻结。(由投标人自行承诺，提供承诺函原件（格式自拟），若承诺与实际不符，将被取消投标或中标资格。)（2）被</w:t>
      </w:r>
      <w:r>
        <w:rPr>
          <w:rFonts w:hint="eastAsia" w:ascii="宋体" w:hAnsi="宋体" w:eastAsia="宋体" w:cs="宋体"/>
          <w:color w:val="000000" w:themeColor="text1"/>
          <w:szCs w:val="24"/>
          <w14:textFill>
            <w14:solidFill>
              <w14:schemeClr w14:val="tx1"/>
            </w14:solidFill>
          </w14:textFill>
        </w:rPr>
        <w:t>广东</w:t>
      </w:r>
      <w:r>
        <w:rPr>
          <w:rFonts w:ascii="宋体" w:hAnsi="宋体" w:eastAsia="宋体" w:cs="宋体"/>
          <w:color w:val="000000" w:themeColor="text1"/>
          <w:szCs w:val="24"/>
          <w14:textFill>
            <w14:solidFill>
              <w14:schemeClr w14:val="tx1"/>
            </w14:solidFill>
          </w14:textFill>
        </w:rPr>
        <w:t>省有关行政部门暂停</w:t>
      </w:r>
      <w:r>
        <w:rPr>
          <w:rFonts w:hint="eastAsia" w:ascii="宋体" w:hAnsi="宋体" w:eastAsia="宋体" w:cs="宋体"/>
          <w:color w:val="000000" w:themeColor="text1"/>
          <w:szCs w:val="24"/>
          <w14:textFill>
            <w14:solidFill>
              <w14:schemeClr w14:val="tx1"/>
            </w14:solidFill>
          </w14:textFill>
        </w:rPr>
        <w:t>广东</w:t>
      </w:r>
      <w:r>
        <w:rPr>
          <w:rFonts w:ascii="宋体" w:hAnsi="宋体" w:eastAsia="宋体" w:cs="宋体"/>
          <w:color w:val="000000" w:themeColor="text1"/>
          <w:szCs w:val="24"/>
          <w14:textFill>
            <w14:solidFill>
              <w14:schemeClr w14:val="tx1"/>
            </w14:solidFill>
          </w14:textFill>
        </w:rPr>
        <w:t>省（处罚行政区域内）投标资格，不得参与投标。（由投标人自行承诺（格式自拟），提供承诺函原件，若承诺与实际不符，将被取消投标或中标资格。）（3）投标截止时间前两年内，投标人单位或其法定代表人被人民法院判定犯行贿罪的，不得参与投标；参与投标的，将由评标委员会作否决投标处理。（由投标人自行承诺（格式自拟），提供承诺函原件，若承诺与实际不符，将被取消投标或中标资格。）（4）投标人未被“中国执行信息公开网”纳入“失信被执行人名单”，提供截图（以招标人在“中国执行信息公开网http://zxgk.court.gov.cn/”网站查询结果为准）。</w:t>
      </w:r>
    </w:p>
    <w:p w14:paraId="2C9F061E">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5.4</w:t>
      </w:r>
      <w:r>
        <w:rPr>
          <w:rFonts w:ascii="宋体" w:hAnsi="宋体" w:eastAsia="宋体" w:cs="宋体"/>
          <w:color w:val="000000" w:themeColor="text1"/>
          <w:szCs w:val="24"/>
          <w14:textFill>
            <w14:solidFill>
              <w14:schemeClr w14:val="tx1"/>
            </w14:solidFill>
          </w14:textFill>
        </w:rPr>
        <w:t>本项目人员配置要求（1）项目负责人要求：拟派项目负责人应具有2个垃圾焚烧电厂飞灰螯合固化处理服务项目经验，无不良执业记录。同时须提供①身份证复印件、无不良执业记录的承诺书、社保机构出具的近三个月养老保险缴费证明材料复印件并加盖投标人公章。②业绩合同复印件并加盖投标人公章。注：合同须附合同关键页（封面页、工作内容页、规模（金额）页以及签章页等，业绩以合同签订时间为准）。（2）运营负责人：运营负责人必须为本单位正式职工。须提供身份证复印件、社保机构出具的近三个月养老保险缴费证明材料复印件并加盖投标人公章。（3）专业负责人：专业负责人必须为本单位正式职工。须提供身份证复印件、社保机构出具的近三个月养老保险缴费证明材料复印件并加盖投标人公章。（4）投标人在投标时拟派的全体项目班子组成人员，在项目实施过程中未经招标人同意不得擅自更换，一经发现，招标人将予以相应处罚（提供相应承诺书）。</w:t>
      </w:r>
    </w:p>
    <w:p w14:paraId="6BBA7C2C">
      <w:pPr>
        <w:spacing w:line="360" w:lineRule="auto"/>
        <w:ind w:firstLine="241" w:firstLineChars="100"/>
        <w:jc w:val="left"/>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5.5人员要求：</w:t>
      </w:r>
    </w:p>
    <w:p w14:paraId="6C3A8491">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5.5.1相关人员至少3个同等项目的服务业绩，满足专业技术能力。</w:t>
      </w:r>
    </w:p>
    <w:p w14:paraId="1BFC8DC3">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5.5.2要求企业或个人购买保险证明（电子保单或复印件加盖公章），原则上工伤或意外身故险单项不低于100万元</w:t>
      </w:r>
    </w:p>
    <w:p w14:paraId="42D738A6">
      <w:pPr>
        <w:spacing w:line="360" w:lineRule="auto"/>
        <w:ind w:firstLine="240" w:firstLineChars="1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5.6投标方中标后需提供的资料</w:t>
      </w:r>
    </w:p>
    <w:p w14:paraId="55A504BB">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5.6.1</w:t>
      </w:r>
      <w:r>
        <w:rPr>
          <w:rFonts w:ascii="宋体" w:hAnsi="宋体" w:eastAsia="宋体" w:cs="宋体"/>
          <w:color w:val="000000" w:themeColor="text1"/>
          <w:szCs w:val="24"/>
          <w14:textFill>
            <w14:solidFill>
              <w14:schemeClr w14:val="tx1"/>
            </w14:solidFill>
          </w14:textFill>
        </w:rPr>
        <w:t>提供合同或协议、安健环协议；（签章版）</w:t>
      </w:r>
    </w:p>
    <w:p w14:paraId="36B35E43">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5.6.2</w:t>
      </w:r>
      <w:r>
        <w:rPr>
          <w:rFonts w:ascii="宋体" w:hAnsi="宋体" w:eastAsia="宋体" w:cs="宋体"/>
          <w:color w:val="000000" w:themeColor="text1"/>
          <w:szCs w:val="24"/>
          <w14:textFill>
            <w14:solidFill>
              <w14:schemeClr w14:val="tx1"/>
            </w14:solidFill>
          </w14:textFill>
        </w:rPr>
        <w:t>企业营业执照、资质证书（若需要）、安全生产许可证、法人身份证或代理人身份证（授权委托书）等、（复印件加盖公章）</w:t>
      </w:r>
    </w:p>
    <w:p w14:paraId="1A341280">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5.6.3</w:t>
      </w:r>
      <w:r>
        <w:rPr>
          <w:rFonts w:ascii="宋体" w:hAnsi="宋体" w:eastAsia="宋体" w:cs="宋体"/>
          <w:color w:val="000000" w:themeColor="text1"/>
          <w:szCs w:val="24"/>
          <w14:textFill>
            <w14:solidFill>
              <w14:schemeClr w14:val="tx1"/>
            </w14:solidFill>
          </w14:textFill>
        </w:rPr>
        <w:t>企业项目人员管理组织架构及任命书、审核重要人员身份证、上岗证、要求上岗人员年龄不大于55岁；（盖章版）</w:t>
      </w:r>
    </w:p>
    <w:p w14:paraId="5AB66A07">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5.6.4</w:t>
      </w:r>
      <w:r>
        <w:rPr>
          <w:rFonts w:ascii="宋体" w:hAnsi="宋体" w:eastAsia="宋体" w:cs="宋体"/>
          <w:color w:val="000000" w:themeColor="text1"/>
          <w:szCs w:val="24"/>
          <w14:textFill>
            <w14:solidFill>
              <w14:schemeClr w14:val="tx1"/>
            </w14:solidFill>
          </w14:textFill>
        </w:rPr>
        <w:t>原则上需提供主要岗位人员社保缴纳证明（若有）（复印件加盖公章）</w:t>
      </w:r>
    </w:p>
    <w:p w14:paraId="230E6ADB">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5.6.5</w:t>
      </w:r>
      <w:r>
        <w:rPr>
          <w:rFonts w:ascii="宋体" w:hAnsi="宋体" w:eastAsia="宋体" w:cs="宋体"/>
          <w:color w:val="000000" w:themeColor="text1"/>
          <w:szCs w:val="24"/>
          <w14:textFill>
            <w14:solidFill>
              <w14:schemeClr w14:val="tx1"/>
            </w14:solidFill>
          </w14:textFill>
        </w:rPr>
        <w:t xml:space="preserve">要求企业或个人购买保险证明（电子保单或复印件加盖公章），原则上工伤或意外身故险单项不低于100万元； </w:t>
      </w:r>
    </w:p>
    <w:p w14:paraId="7B262501">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5.6.6</w:t>
      </w:r>
      <w:r>
        <w:rPr>
          <w:rFonts w:ascii="宋体" w:hAnsi="宋体" w:eastAsia="宋体" w:cs="宋体"/>
          <w:color w:val="000000" w:themeColor="text1"/>
          <w:szCs w:val="24"/>
          <w14:textFill>
            <w14:solidFill>
              <w14:schemeClr w14:val="tx1"/>
            </w14:solidFill>
          </w14:textFill>
        </w:rPr>
        <w:t>特种作业人员及设备设施必须提供证照审核（人员上岗证、设备有效检验证照等）；（若有）（复印件加盖公章）</w:t>
      </w:r>
    </w:p>
    <w:p w14:paraId="01668237">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5.6.7</w:t>
      </w:r>
      <w:r>
        <w:rPr>
          <w:rFonts w:ascii="宋体" w:hAnsi="宋体" w:eastAsia="宋体" w:cs="宋体"/>
          <w:color w:val="000000" w:themeColor="text1"/>
          <w:szCs w:val="24"/>
          <w14:textFill>
            <w14:solidFill>
              <w14:schemeClr w14:val="tx1"/>
            </w14:solidFill>
          </w14:textFill>
        </w:rPr>
        <w:t>施工入场前编制施工或作业方案、安全措施方案及应急预案与现场处置方案、书面形式报甲方审批；（若有）（签章版）</w:t>
      </w:r>
    </w:p>
    <w:p w14:paraId="549E2C5B">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5.6.8</w:t>
      </w:r>
      <w:r>
        <w:rPr>
          <w:rFonts w:ascii="宋体" w:hAnsi="宋体" w:eastAsia="宋体" w:cs="宋体"/>
          <w:color w:val="000000" w:themeColor="text1"/>
          <w:szCs w:val="24"/>
          <w14:textFill>
            <w14:solidFill>
              <w14:schemeClr w14:val="tx1"/>
            </w14:solidFill>
          </w14:textFill>
        </w:rPr>
        <w:t>施工入场前提供工器具及机械明细清单书面报甲方审核；（若有）（盖章版）</w:t>
      </w:r>
    </w:p>
    <w:p w14:paraId="531877A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5.6.9</w:t>
      </w:r>
      <w:r>
        <w:rPr>
          <w:rFonts w:ascii="宋体" w:hAnsi="宋体" w:eastAsia="宋体" w:cs="宋体"/>
          <w:color w:val="000000" w:themeColor="text1"/>
          <w:szCs w:val="24"/>
          <w14:textFill>
            <w14:solidFill>
              <w14:schemeClr w14:val="tx1"/>
            </w14:solidFill>
          </w14:textFill>
        </w:rPr>
        <w:t>施工人员入场后所有人员需进行施工方案、安全方案及预案的书面交底（提共相关影像书面资料）（若有）</w:t>
      </w:r>
    </w:p>
    <w:p w14:paraId="6CB20EE3">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5.6.10</w:t>
      </w:r>
      <w:r>
        <w:rPr>
          <w:rFonts w:ascii="宋体" w:hAnsi="宋体" w:eastAsia="宋体" w:cs="宋体"/>
          <w:color w:val="000000" w:themeColor="text1"/>
          <w:szCs w:val="24"/>
          <w14:textFill>
            <w14:solidFill>
              <w14:schemeClr w14:val="tx1"/>
            </w14:solidFill>
          </w14:textFill>
        </w:rPr>
        <w:t>施工人员入场后需进行完成安全培训教育、考试合格后方可上岗（提交相关影像书面资料）；</w:t>
      </w:r>
    </w:p>
    <w:p w14:paraId="05F20B89">
      <w:pPr>
        <w:pStyle w:val="2"/>
        <w:ind w:firstLine="0" w:firstLineChars="0"/>
      </w:pPr>
    </w:p>
    <w:p w14:paraId="31B13DFE">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22" w:name="_Toc136173548"/>
      <w:bookmarkStart w:id="23" w:name="_Toc4107"/>
      <w:r>
        <w:rPr>
          <w:rFonts w:hint="eastAsia" w:ascii="宋体" w:hAnsi="宋体" w:eastAsia="宋体" w:cs="宋体"/>
          <w:b/>
          <w:color w:val="000000" w:themeColor="text1"/>
          <w:szCs w:val="24"/>
          <w14:textFill>
            <w14:solidFill>
              <w14:schemeClr w14:val="tx1"/>
            </w14:solidFill>
          </w14:textFill>
        </w:rPr>
        <w:t>6.招标文件出售时间</w:t>
      </w:r>
      <w:bookmarkEnd w:id="22"/>
      <w:bookmarkEnd w:id="23"/>
    </w:p>
    <w:p w14:paraId="77A40E17">
      <w:pPr>
        <w:spacing w:line="360" w:lineRule="auto"/>
        <w:jc w:val="left"/>
        <w:rPr>
          <w:rFonts w:hint="eastAsia" w:ascii="宋体" w:hAnsi="宋体" w:eastAsia="宋体" w:cs="宋体"/>
          <w:b/>
          <w:bCs/>
          <w:color w:val="000000" w:themeColor="text1"/>
          <w:szCs w:val="24"/>
          <w:highlight w:val="green"/>
          <w14:textFill>
            <w14:solidFill>
              <w14:schemeClr w14:val="tx1"/>
            </w14:solidFill>
          </w14:textFill>
        </w:rPr>
      </w:pPr>
      <w:r>
        <w:rPr>
          <w:rFonts w:hint="eastAsia" w:ascii="宋体" w:hAnsi="宋体" w:eastAsia="宋体" w:cs="宋体"/>
          <w:b/>
          <w:bCs/>
          <w:color w:val="000000" w:themeColor="text1"/>
          <w:szCs w:val="24"/>
          <w:highlight w:val="green"/>
          <w14:textFill>
            <w14:solidFill>
              <w14:schemeClr w14:val="tx1"/>
            </w14:solidFill>
          </w14:textFill>
        </w:rPr>
        <w:t>自2025年11月20日-12月02日止。</w:t>
      </w:r>
    </w:p>
    <w:p w14:paraId="6BBD79DF">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24" w:name="_Toc6230"/>
      <w:bookmarkStart w:id="25" w:name="_Toc136173549"/>
      <w:r>
        <w:rPr>
          <w:rFonts w:hint="eastAsia" w:ascii="宋体" w:hAnsi="宋体" w:eastAsia="宋体" w:cs="宋体"/>
          <w:b/>
          <w:color w:val="000000" w:themeColor="text1"/>
          <w:szCs w:val="24"/>
          <w14:textFill>
            <w14:solidFill>
              <w14:schemeClr w14:val="tx1"/>
            </w14:solidFill>
          </w14:textFill>
        </w:rPr>
        <w:t>7.获取招标文件的时间及地点</w:t>
      </w:r>
      <w:bookmarkEnd w:id="24"/>
      <w:bookmarkEnd w:id="25"/>
    </w:p>
    <w:p w14:paraId="5EF9410B">
      <w:pPr>
        <w:spacing w:line="360" w:lineRule="auto"/>
        <w:jc w:val="left"/>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凡有意参加投标者，请回执《投标意向确认书》，招标人将采用提供电子档招标文件发放到《投标联系人确认书》指定的邮箱地址，敬请查收。</w:t>
      </w:r>
    </w:p>
    <w:p w14:paraId="1B412588">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26" w:name="_Toc136173550"/>
      <w:bookmarkStart w:id="27" w:name="_Toc12897"/>
      <w:r>
        <w:rPr>
          <w:rFonts w:hint="eastAsia" w:ascii="宋体" w:hAnsi="宋体" w:eastAsia="宋体" w:cs="宋体"/>
          <w:b/>
          <w:color w:val="000000" w:themeColor="text1"/>
          <w:szCs w:val="24"/>
          <w14:textFill>
            <w14:solidFill>
              <w14:schemeClr w14:val="tx1"/>
            </w14:solidFill>
          </w14:textFill>
        </w:rPr>
        <w:t>8.招标文件费用</w:t>
      </w:r>
      <w:bookmarkEnd w:id="26"/>
      <w:bookmarkEnd w:id="27"/>
    </w:p>
    <w:p w14:paraId="2D49806A">
      <w:pPr>
        <w:adjustRightInd w:val="0"/>
        <w:snapToGri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本次招标不收取采购文件费用。</w:t>
      </w:r>
    </w:p>
    <w:p w14:paraId="77D02A36">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28" w:name="_Toc136173551"/>
      <w:bookmarkStart w:id="29" w:name="_Toc24239"/>
      <w:r>
        <w:rPr>
          <w:rFonts w:hint="eastAsia" w:ascii="宋体" w:hAnsi="宋体" w:eastAsia="宋体" w:cs="宋体"/>
          <w:b/>
          <w:color w:val="000000" w:themeColor="text1"/>
          <w:szCs w:val="24"/>
          <w14:textFill>
            <w14:solidFill>
              <w14:schemeClr w14:val="tx1"/>
            </w14:solidFill>
          </w14:textFill>
        </w:rPr>
        <w:t>9. 投标文件的递交</w:t>
      </w:r>
      <w:bookmarkEnd w:id="28"/>
      <w:bookmarkEnd w:id="29"/>
    </w:p>
    <w:p w14:paraId="07F0534E">
      <w:pPr>
        <w:spacing w:line="360" w:lineRule="auto"/>
        <w:jc w:val="left"/>
        <w:rPr>
          <w:rFonts w:hint="eastAsia" w:ascii="宋体" w:hAnsi="宋体" w:eastAsia="宋体" w:cs="宋体"/>
          <w:b/>
          <w:snapToGrid w:val="0"/>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9.1投标截止时间：</w:t>
      </w:r>
      <w:r>
        <w:rPr>
          <w:rFonts w:hint="eastAsia" w:ascii="宋体" w:hAnsi="宋体" w:eastAsia="宋体" w:cs="宋体"/>
          <w:snapToGrid w:val="0"/>
          <w:color w:val="000000" w:themeColor="text1"/>
          <w:szCs w:val="24"/>
          <w:u w:val="single"/>
          <w14:textFill>
            <w14:solidFill>
              <w14:schemeClr w14:val="tx1"/>
            </w14:solidFill>
          </w14:textFill>
        </w:rPr>
        <w:t>2025</w:t>
      </w:r>
      <w:r>
        <w:rPr>
          <w:rFonts w:hint="eastAsia" w:ascii="宋体" w:hAnsi="宋体" w:eastAsia="宋体" w:cs="宋体"/>
          <w:snapToGrid w:val="0"/>
          <w:color w:val="000000" w:themeColor="text1"/>
          <w:szCs w:val="24"/>
          <w14:textFill>
            <w14:solidFill>
              <w14:schemeClr w14:val="tx1"/>
            </w14:solidFill>
          </w14:textFill>
        </w:rPr>
        <w:t>年</w:t>
      </w:r>
      <w:r>
        <w:rPr>
          <w:rFonts w:hint="eastAsia" w:ascii="宋体" w:hAnsi="宋体" w:eastAsia="宋体" w:cs="宋体"/>
          <w:snapToGrid w:val="0"/>
          <w:color w:val="000000" w:themeColor="text1"/>
          <w:szCs w:val="24"/>
          <w:u w:val="single"/>
          <w14:textFill>
            <w14:solidFill>
              <w14:schemeClr w14:val="tx1"/>
            </w14:solidFill>
          </w14:textFill>
        </w:rPr>
        <w:t xml:space="preserve"> 12</w:t>
      </w:r>
      <w:r>
        <w:rPr>
          <w:rFonts w:hint="eastAsia" w:ascii="宋体" w:hAnsi="宋体" w:eastAsia="宋体" w:cs="宋体"/>
          <w:snapToGrid w:val="0"/>
          <w:color w:val="000000" w:themeColor="text1"/>
          <w:szCs w:val="24"/>
          <w14:textFill>
            <w14:solidFill>
              <w14:schemeClr w14:val="tx1"/>
            </w14:solidFill>
          </w14:textFill>
        </w:rPr>
        <w:t>月</w:t>
      </w:r>
      <w:r>
        <w:rPr>
          <w:rFonts w:hint="eastAsia" w:ascii="宋体" w:hAnsi="宋体" w:eastAsia="宋体" w:cs="宋体"/>
          <w:snapToGrid w:val="0"/>
          <w:color w:val="000000" w:themeColor="text1"/>
          <w:szCs w:val="24"/>
          <w:u w:val="single"/>
          <w14:textFill>
            <w14:solidFill>
              <w14:schemeClr w14:val="tx1"/>
            </w14:solidFill>
          </w14:textFill>
        </w:rPr>
        <w:t xml:space="preserve"> 04</w:t>
      </w:r>
      <w:r>
        <w:rPr>
          <w:rFonts w:hint="eastAsia" w:ascii="宋体" w:hAnsi="宋体" w:eastAsia="宋体" w:cs="宋体"/>
          <w:snapToGrid w:val="0"/>
          <w:color w:val="000000" w:themeColor="text1"/>
          <w:szCs w:val="24"/>
          <w14:textFill>
            <w14:solidFill>
              <w14:schemeClr w14:val="tx1"/>
            </w14:solidFill>
          </w14:textFill>
        </w:rPr>
        <w:t>日</w:t>
      </w:r>
      <w:r>
        <w:rPr>
          <w:rFonts w:hint="eastAsia" w:ascii="宋体" w:hAnsi="宋体" w:eastAsia="宋体" w:cs="宋体"/>
          <w:snapToGrid w:val="0"/>
          <w:color w:val="000000" w:themeColor="text1"/>
          <w:szCs w:val="24"/>
          <w:u w:val="single"/>
          <w14:textFill>
            <w14:solidFill>
              <w14:schemeClr w14:val="tx1"/>
            </w14:solidFill>
          </w14:textFill>
        </w:rPr>
        <w:t xml:space="preserve"> 18:00  </w:t>
      </w:r>
      <w:r>
        <w:rPr>
          <w:rFonts w:hint="eastAsia" w:ascii="宋体" w:hAnsi="宋体" w:eastAsia="宋体" w:cs="宋体"/>
          <w:snapToGrid w:val="0"/>
          <w:color w:val="000000" w:themeColor="text1"/>
          <w:szCs w:val="24"/>
          <w14:textFill>
            <w14:solidFill>
              <w14:schemeClr w14:val="tx1"/>
            </w14:solidFill>
          </w14:textFill>
        </w:rPr>
        <w:t>时前</w:t>
      </w:r>
      <w:r>
        <w:rPr>
          <w:rFonts w:hint="eastAsia" w:ascii="宋体" w:hAnsi="宋体" w:eastAsia="宋体" w:cs="宋体"/>
          <w:b/>
          <w:snapToGrid w:val="0"/>
          <w:color w:val="000000" w:themeColor="text1"/>
          <w:szCs w:val="24"/>
          <w14:textFill>
            <w14:solidFill>
              <w14:schemeClr w14:val="tx1"/>
            </w14:solidFill>
          </w14:textFill>
        </w:rPr>
        <w:t>（收到标书时间）。</w:t>
      </w:r>
    </w:p>
    <w:p w14:paraId="29B88A37">
      <w:pPr>
        <w:spacing w:line="360" w:lineRule="auto"/>
        <w:jc w:val="left"/>
        <w:rPr>
          <w:rFonts w:hint="eastAsia" w:ascii="宋体" w:hAnsi="宋体" w:eastAsia="宋体" w:cs="宋体"/>
          <w:b/>
          <w:bCs/>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9.2</w:t>
      </w:r>
      <w:r>
        <w:rPr>
          <w:rFonts w:hint="eastAsia" w:ascii="宋体" w:hAnsi="宋体" w:eastAsia="宋体" w:cs="宋体"/>
          <w:snapToGrid w:val="0"/>
          <w:color w:val="000000" w:themeColor="text1"/>
          <w:szCs w:val="24"/>
          <w14:textFill>
            <w14:solidFill>
              <w14:schemeClr w14:val="tx1"/>
            </w14:solidFill>
          </w14:textFill>
        </w:rPr>
        <w:t>投档方式</w:t>
      </w:r>
      <w:r>
        <w:rPr>
          <w:rFonts w:hint="eastAsia" w:ascii="宋体" w:hAnsi="宋体" w:eastAsia="宋体" w:cs="宋体"/>
          <w:b/>
          <w:bCs/>
          <w:snapToGrid w:val="0"/>
          <w:color w:val="000000" w:themeColor="text1"/>
          <w:szCs w:val="24"/>
          <w:u w:val="single"/>
          <w14:textFill>
            <w14:solidFill>
              <w14:schemeClr w14:val="tx1"/>
            </w14:solidFill>
          </w14:textFill>
        </w:rPr>
        <w:t>：</w:t>
      </w:r>
      <w:r>
        <w:rPr>
          <w:rFonts w:hint="eastAsia" w:ascii="宋体" w:hAnsi="宋体" w:eastAsia="宋体" w:cs="宋体"/>
          <w:snapToGrid w:val="0"/>
          <w:color w:val="000000" w:themeColor="text1"/>
          <w:szCs w:val="24"/>
          <w:u w:val="single"/>
          <w14:textFill>
            <w14:solidFill>
              <w14:schemeClr w14:val="tx1"/>
            </w14:solidFill>
          </w14:textFill>
        </w:rPr>
        <w:t>选择第（2）电子档投递方式</w:t>
      </w:r>
    </w:p>
    <w:p w14:paraId="279B2045">
      <w:pPr>
        <w:spacing w:line="360" w:lineRule="auto"/>
        <w:jc w:val="left"/>
        <w:rPr>
          <w:rFonts w:hint="eastAsia" w:ascii="宋体" w:hAnsi="宋体" w:eastAsia="宋体" w:cs="宋体"/>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（1）纸质档投递方式：投标文件须密封后于投标截止时间前送到开标地点，</w:t>
      </w:r>
      <w:r>
        <w:rPr>
          <w:rFonts w:hint="eastAsia" w:ascii="宋体" w:hAnsi="宋体" w:eastAsia="宋体" w:cs="宋体"/>
          <w:snapToGrid w:val="0"/>
          <w:color w:val="000000" w:themeColor="text1"/>
          <w:szCs w:val="24"/>
          <w14:textFill>
            <w14:solidFill>
              <w14:schemeClr w14:val="tx1"/>
            </w14:solidFill>
          </w14:textFill>
        </w:rPr>
        <w:t>快递或上门送件方式，地点</w:t>
      </w:r>
      <w:r>
        <w:rPr>
          <w:rFonts w:hint="eastAsia" w:ascii="宋体" w:hAnsi="宋体" w:eastAsia="宋体" w:cs="宋体"/>
          <w:snapToGrid w:val="0"/>
          <w:color w:val="000000" w:themeColor="text1"/>
          <w:szCs w:val="24"/>
          <w:u w:val="single"/>
          <w14:textFill>
            <w14:solidFill>
              <w14:schemeClr w14:val="tx1"/>
            </w14:solidFill>
          </w14:textFill>
        </w:rPr>
        <w:t>：</w:t>
      </w:r>
      <w:r>
        <w:rPr>
          <w:rFonts w:hint="eastAsia" w:ascii="宋体" w:hAnsi="宋体"/>
          <w:color w:val="000000"/>
          <w:szCs w:val="21"/>
          <w:highlight w:val="green"/>
          <w:u w:val="single"/>
        </w:rPr>
        <w:t>广东省茂名市高州市高州市金山开发金辉西路西南高州市绿能环保发电项目综合楼三楼物资部</w:t>
      </w:r>
      <w:r>
        <w:rPr>
          <w:rFonts w:hint="eastAsia" w:ascii="宋体" w:hAnsi="宋体" w:eastAsia="宋体" w:cs="宋体"/>
          <w:snapToGrid w:val="0"/>
          <w:color w:val="000000" w:themeColor="text1"/>
          <w:szCs w:val="24"/>
          <w:highlight w:val="green"/>
          <w:u w:val="single"/>
          <w14:textFill>
            <w14:solidFill>
              <w14:schemeClr w14:val="tx1"/>
            </w14:solidFill>
          </w14:textFill>
        </w:rPr>
        <w:t>收</w:t>
      </w:r>
      <w:r>
        <w:rPr>
          <w:rFonts w:hint="eastAsia" w:ascii="宋体" w:hAnsi="宋体" w:eastAsia="宋体" w:cs="宋体"/>
          <w:snapToGrid w:val="0"/>
          <w:color w:val="000000" w:themeColor="text1"/>
          <w:szCs w:val="24"/>
          <w:u w:val="single"/>
          <w14:textFill>
            <w14:solidFill>
              <w14:schemeClr w14:val="tx1"/>
            </w14:solidFill>
          </w14:textFill>
        </w:rPr>
        <w:t>。</w:t>
      </w:r>
    </w:p>
    <w:p w14:paraId="0531CB11">
      <w:pPr>
        <w:autoSpaceDE w:val="0"/>
        <w:autoSpaceDN w:val="0"/>
        <w:spacing w:line="360" w:lineRule="auto"/>
        <w:jc w:val="left"/>
        <w:rPr>
          <w:rFonts w:hint="eastAsia"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（2）电子档投递方式：投标截止时间</w:t>
      </w:r>
      <w:r>
        <w:rPr>
          <w:rFonts w:hint="eastAsia" w:ascii="宋体" w:hAnsi="宋体" w:eastAsia="宋体" w:cs="宋体"/>
          <w:snapToGrid w:val="0"/>
          <w:color w:val="000000" w:themeColor="text1"/>
          <w:szCs w:val="24"/>
          <w14:textFill>
            <w14:solidFill>
              <w14:schemeClr w14:val="tx1"/>
            </w14:solidFill>
          </w14:textFill>
        </w:rPr>
        <w:t>前</w:t>
      </w:r>
      <w:r>
        <w:rPr>
          <w:rFonts w:hint="eastAsia" w:ascii="宋体" w:hAnsi="宋体" w:eastAsia="宋体" w:cs="宋体"/>
          <w:color w:val="000000" w:themeColor="text1"/>
          <w:szCs w:val="24"/>
          <w14:textFill>
            <w14:solidFill>
              <w14:schemeClr w14:val="tx1"/>
            </w14:solidFill>
          </w14:textFill>
        </w:rPr>
        <w:t>登录朗坤环境官网招标采购平台</w:t>
      </w:r>
      <w:r>
        <w:rPr>
          <w:rFonts w:hint="eastAsia" w:ascii="宋体" w:hAnsi="宋体" w:eastAsia="宋体" w:cs="宋体"/>
          <w:b/>
          <w:bCs/>
          <w:color w:val="000000" w:themeColor="text1"/>
          <w:szCs w:val="24"/>
          <w:u w:val="single"/>
          <w14:textFill>
            <w14:solidFill>
              <w14:schemeClr w14:val="tx1"/>
            </w14:solidFill>
          </w14:textFill>
        </w:rPr>
        <w:t>http://ebidding.leoking.com/Bidding/list_125.aspx</w:t>
      </w:r>
      <w:r>
        <w:rPr>
          <w:rFonts w:hint="eastAsia" w:ascii="宋体" w:hAnsi="宋体" w:eastAsia="宋体" w:cs="宋体"/>
          <w:color w:val="000000" w:themeColor="text1"/>
          <w:szCs w:val="24"/>
          <w14:textFill>
            <w14:solidFill>
              <w14:schemeClr w14:val="tx1"/>
            </w14:solidFill>
          </w14:textFill>
        </w:rPr>
        <w:t xml:space="preserve"> ，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eastAsia" w:ascii="宋体" w:hAnsi="宋体" w:eastAsia="宋体" w:cs="宋体"/>
          <w:b/>
          <w:color w:val="000000" w:themeColor="text1"/>
          <w:szCs w:val="24"/>
          <w:u w:val="single"/>
          <w14:textFill>
            <w14:solidFill>
              <w14:schemeClr w14:val="tx1"/>
            </w14:solidFill>
          </w14:textFill>
        </w:rPr>
        <w:t>投标文件压缩时要求使用密码加密，开标时再提供密码解压。投标函、技术标投标书2套，纸质正本于2025年12月04日邮寄招标单位，方便招标人项目报审。</w:t>
      </w:r>
    </w:p>
    <w:p w14:paraId="6247F00A">
      <w:pPr>
        <w:autoSpaceDE w:val="0"/>
        <w:autoSpaceDN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9.3逾期收到或不符合招标文件要求的投标文件恕不接受，开标时间另行通知。</w:t>
      </w:r>
    </w:p>
    <w:p w14:paraId="7CD0978E">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 xml:space="preserve"> </w:t>
      </w:r>
      <w:bookmarkStart w:id="30" w:name="_Toc136173552"/>
      <w:bookmarkStart w:id="31" w:name="_Toc28903"/>
      <w:r>
        <w:rPr>
          <w:rFonts w:hint="eastAsia" w:ascii="宋体" w:hAnsi="宋体" w:eastAsia="宋体" w:cs="宋体"/>
          <w:b/>
          <w:color w:val="000000" w:themeColor="text1"/>
          <w:szCs w:val="24"/>
          <w14:textFill>
            <w14:solidFill>
              <w14:schemeClr w14:val="tx1"/>
            </w14:solidFill>
          </w14:textFill>
        </w:rPr>
        <w:t>10.联系方式</w:t>
      </w:r>
      <w:bookmarkEnd w:id="30"/>
      <w:bookmarkEnd w:id="31"/>
    </w:p>
    <w:p w14:paraId="69532050">
      <w:pPr>
        <w:autoSpaceDE w:val="0"/>
        <w:autoSpaceDN w:val="0"/>
        <w:adjustRightInd w:val="0"/>
        <w:spacing w:line="360" w:lineRule="auto"/>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招标人：</w:t>
      </w:r>
      <w:bookmarkStart w:id="32" w:name="_Hlk214540653"/>
      <w:bookmarkStart w:id="33" w:name="_Hlk214540565"/>
      <w:r>
        <w:rPr>
          <w:rFonts w:hint="eastAsia" w:ascii="宋体" w:hAnsi="宋体" w:eastAsia="宋体" w:cs="宋体"/>
          <w:b/>
          <w:color w:val="000000" w:themeColor="text1"/>
          <w:szCs w:val="24"/>
          <w14:textFill>
            <w14:solidFill>
              <w14:schemeClr w14:val="tx1"/>
            </w14:solidFill>
          </w14:textFill>
        </w:rPr>
        <w:t>深圳市朗坤科技股份有限公司</w:t>
      </w:r>
      <w:bookmarkEnd w:id="32"/>
    </w:p>
    <w:bookmarkEnd w:id="33"/>
    <w:p w14:paraId="350B9579">
      <w:pPr>
        <w:autoSpaceDE w:val="0"/>
        <w:autoSpaceDN w:val="0"/>
        <w:adjustRightInd w:val="0"/>
        <w:spacing w:line="360" w:lineRule="auto"/>
        <w:jc w:val="left"/>
        <w:rPr>
          <w:rFonts w:hint="eastAsia" w:ascii="宋体" w:hAnsi="宋体" w:eastAsia="宋体" w:cs="宋体"/>
          <w:color w:val="000000" w:themeColor="text1"/>
          <w:szCs w:val="24"/>
          <w:highlight w:val="yellow"/>
          <w14:textFill>
            <w14:solidFill>
              <w14:schemeClr w14:val="tx1"/>
            </w14:solidFill>
          </w14:textFill>
        </w:rPr>
      </w:pPr>
      <w:bookmarkStart w:id="34" w:name="OLE_LINK1"/>
      <w:r>
        <w:rPr>
          <w:rFonts w:hint="eastAsia" w:ascii="宋体" w:hAnsi="宋体" w:eastAsia="宋体" w:cs="宋体"/>
          <w:color w:val="000000" w:themeColor="text1"/>
          <w:szCs w:val="24"/>
          <w:highlight w:val="yellow"/>
          <w14:textFill>
            <w14:solidFill>
              <w14:schemeClr w14:val="tx1"/>
            </w14:solidFill>
          </w14:textFill>
        </w:rPr>
        <w:t>招标采购中心：</w:t>
      </w:r>
      <w:r>
        <w:rPr>
          <w:rFonts w:hint="eastAsia" w:ascii="宋体" w:hAnsi="宋体" w:eastAsia="宋体" w:cs="宋体"/>
          <w:color w:val="000000" w:themeColor="text1"/>
          <w:szCs w:val="24"/>
          <w14:textFill>
            <w14:solidFill>
              <w14:schemeClr w14:val="tx1"/>
            </w14:solidFill>
          </w14:textFill>
        </w:rPr>
        <w:t>舒伟恒</w:t>
      </w:r>
      <w:r>
        <w:rPr>
          <w:rFonts w:hint="eastAsia" w:ascii="宋体" w:hAnsi="宋体" w:eastAsia="宋体" w:cs="宋体"/>
          <w:color w:val="000000" w:themeColor="text1"/>
          <w:szCs w:val="24"/>
          <w:highlight w:val="yellow"/>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周占颢</w:t>
      </w:r>
      <w:r>
        <w:rPr>
          <w:rFonts w:hint="eastAsia" w:ascii="宋体" w:hAnsi="宋体" w:eastAsia="宋体" w:cs="宋体"/>
          <w:color w:val="000000" w:themeColor="text1"/>
          <w:szCs w:val="24"/>
          <w:highlight w:val="yellow"/>
          <w14:textFill>
            <w14:solidFill>
              <w14:schemeClr w14:val="tx1"/>
            </w14:solidFill>
          </w14:textFill>
        </w:rPr>
        <w:t xml:space="preserve"> 电话：18028710779 、</w:t>
      </w:r>
      <w:r>
        <w:rPr>
          <w:rFonts w:ascii="宋体" w:hAnsi="宋体" w:eastAsia="宋体" w:cs="宋体"/>
          <w:color w:val="000000" w:themeColor="text1"/>
          <w:szCs w:val="24"/>
          <w14:textFill>
            <w14:solidFill>
              <w14:schemeClr w14:val="tx1"/>
            </w14:solidFill>
          </w14:textFill>
        </w:rPr>
        <w:t>15077290077</w:t>
      </w:r>
    </w:p>
    <w:p w14:paraId="187218D4">
      <w:pPr>
        <w:autoSpaceDE w:val="0"/>
        <w:autoSpaceDN w:val="0"/>
        <w:adjustRightIn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yellow"/>
          <w14:textFill>
            <w14:solidFill>
              <w14:schemeClr w14:val="tx1"/>
            </w14:solidFill>
          </w14:textFill>
        </w:rPr>
        <w:t>邮箱：</w:t>
      </w:r>
      <w:r>
        <w:rPr>
          <w:rFonts w:hint="eastAsia" w:ascii="宋体" w:hAnsi="宋体" w:eastAsia="宋体" w:cs="宋体"/>
          <w:color w:val="000000" w:themeColor="text1"/>
          <w14:textFill>
            <w14:solidFill>
              <w14:schemeClr w14:val="tx1"/>
            </w14:solidFill>
          </w14:textFill>
        </w:rPr>
        <w:t>shuweiheng</w:t>
      </w:r>
      <w:r>
        <w:rPr>
          <w:rFonts w:ascii="宋体" w:hAnsi="宋体" w:eastAsia="宋体" w:cs="宋体"/>
          <w:color w:val="000000" w:themeColor="text1"/>
          <w14:textFill>
            <w14:solidFill>
              <w14:schemeClr w14:val="tx1"/>
            </w14:solidFill>
          </w14:textFill>
        </w:rPr>
        <w:t>@leoking.com</w:t>
      </w:r>
    </w:p>
    <w:p w14:paraId="6C2F36A2">
      <w:pPr>
        <w:autoSpaceDE w:val="0"/>
        <w:autoSpaceDN w:val="0"/>
        <w:adjustRightIn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安环部：唐凯、张康     电话：13336518997、18671998537</w:t>
      </w:r>
    </w:p>
    <w:p w14:paraId="6A4FD8D7">
      <w:pPr>
        <w:autoSpaceDE w:val="0"/>
        <w:autoSpaceDN w:val="0"/>
        <w:adjustRightIn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yellow"/>
          <w14:textFill>
            <w14:solidFill>
              <w14:schemeClr w14:val="tx1"/>
            </w14:solidFill>
          </w14:textFill>
        </w:rPr>
        <w:t>邮箱：</w:t>
      </w:r>
      <w:r>
        <w:rPr>
          <w:rFonts w:hint="eastAsia"/>
          <w:highlight w:val="yellow"/>
        </w:rPr>
        <w:t>tangkai131@163.com</w:t>
      </w:r>
    </w:p>
    <w:bookmarkEnd w:id="34"/>
    <w:p w14:paraId="143E90D7">
      <w:pPr>
        <w:autoSpaceDE w:val="0"/>
        <w:autoSpaceDN w:val="0"/>
        <w:adjustRightIn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附件详后：</w:t>
      </w:r>
    </w:p>
    <w:p w14:paraId="3F474EB0">
      <w:pPr>
        <w:pStyle w:val="5"/>
        <w:spacing w:before="0" w:after="0" w:line="360" w:lineRule="auto"/>
        <w:ind w:firstLine="422" w:firstLineChars="200"/>
        <w:jc w:val="left"/>
        <w:rPr>
          <w:rFonts w:hint="eastAsia" w:ascii="宋体" w:hAnsi="宋体" w:cs="宋体"/>
          <w:color w:val="000000" w:themeColor="text1"/>
          <w:sz w:val="21"/>
          <w:szCs w:val="21"/>
          <w14:textFill>
            <w14:solidFill>
              <w14:schemeClr w14:val="tx1"/>
            </w14:solidFill>
          </w14:textFill>
        </w:rPr>
        <w:sectPr>
          <w:footerReference r:id="rId8" w:type="default"/>
          <w:pgSz w:w="11907" w:h="16840"/>
          <w:pgMar w:top="1247" w:right="1361" w:bottom="1247" w:left="1361" w:header="720" w:footer="720" w:gutter="0"/>
          <w:cols w:space="720" w:num="1"/>
          <w:docGrid w:linePitch="286" w:charSpace="0"/>
        </w:sectPr>
      </w:pPr>
      <w:bookmarkStart w:id="35" w:name="_Toc176085606"/>
    </w:p>
    <w:p w14:paraId="2DA293D3">
      <w:pPr>
        <w:pStyle w:val="5"/>
        <w:spacing w:line="360" w:lineRule="auto"/>
        <w:jc w:val="left"/>
        <w:rPr>
          <w:rFonts w:hint="eastAsia" w:ascii="宋体" w:hAnsi="宋体" w:cs="宋体"/>
          <w:color w:val="000000" w:themeColor="text1"/>
          <w:sz w:val="24"/>
          <w:szCs w:val="24"/>
          <w14:textFill>
            <w14:solidFill>
              <w14:schemeClr w14:val="tx1"/>
            </w14:solidFill>
          </w14:textFill>
        </w:rPr>
      </w:pPr>
      <w:bookmarkStart w:id="36" w:name="_Toc8583"/>
      <w:bookmarkStart w:id="37" w:name="_Toc136173553"/>
      <w:r>
        <w:rPr>
          <w:rFonts w:hint="eastAsia" w:ascii="宋体" w:hAnsi="宋体" w:cs="宋体"/>
          <w:color w:val="000000" w:themeColor="text1"/>
          <w:sz w:val="24"/>
          <w:szCs w:val="24"/>
          <w14:textFill>
            <w14:solidFill>
              <w14:schemeClr w14:val="tx1"/>
            </w14:solidFill>
          </w14:textFill>
        </w:rPr>
        <w:t>附件 1-1：投标意向确认书格式</w:t>
      </w:r>
      <w:bookmarkEnd w:id="35"/>
      <w:bookmarkEnd w:id="36"/>
      <w:bookmarkEnd w:id="37"/>
    </w:p>
    <w:p w14:paraId="510DCFFB">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ascii="宋体" w:hAnsi="宋体" w:eastAsia="宋体" w:cs="宋体"/>
          <w:sz w:val="24"/>
          <w:szCs w:val="24"/>
        </w:rPr>
        <w:t>深圳市龙岗区坪地街道高桥社区</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5C2B067B">
      <w:pPr>
        <w:spacing w:line="360" w:lineRule="auto"/>
        <w:ind w:firstLine="787" w:firstLineChars="328"/>
        <w:rPr>
          <w:rFonts w:ascii="宋体" w:hAnsi="宋体" w:eastAsia="宋体" w:cs="宋体"/>
          <w:sz w:val="24"/>
          <w:szCs w:val="24"/>
        </w:rPr>
      </w:pPr>
      <w:r>
        <w:rPr>
          <w:rFonts w:ascii="宋体" w:hAnsi="宋体" w:eastAsia="宋体" w:cs="宋体"/>
          <w:sz w:val="24"/>
          <w:szCs w:val="24"/>
        </w:rPr>
        <w:t>朗坤科技园10楼</w:t>
      </w:r>
    </w:p>
    <w:p w14:paraId="41CB6D70">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sz w:val="24"/>
        </w:rPr>
        <w:t>深圳市朗坤科技股份有限公司</w:t>
      </w:r>
      <w:r>
        <w:rPr>
          <w:rFonts w:hint="eastAsia" w:ascii="宋体" w:hAnsi="宋体" w:eastAsia="宋体" w:cs="宋体"/>
          <w:b/>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34322F17">
      <w:pPr>
        <w:spacing w:line="360" w:lineRule="auto"/>
        <w:ind w:firstLine="787" w:firstLineChars="328"/>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04455130">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72484B04">
      <w:pPr>
        <w:spacing w:line="360" w:lineRule="auto"/>
        <w:ind w:firstLine="787" w:firstLineChars="328"/>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5A72DB94">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035E91D0">
      <w:pPr>
        <w:spacing w:line="360" w:lineRule="auto"/>
        <w:ind w:firstLine="482" w:firstLineChars="200"/>
        <w:jc w:val="center"/>
        <w:rPr>
          <w:rFonts w:hint="eastAsia" w:ascii="宋体" w:hAnsi="宋体" w:eastAsia="宋体" w:cs="宋体"/>
          <w:b/>
          <w:color w:val="000000" w:themeColor="text1"/>
          <w:szCs w:val="24"/>
          <w14:textFill>
            <w14:solidFill>
              <w14:schemeClr w14:val="tx1"/>
            </w14:solidFill>
          </w14:textFill>
        </w:rPr>
      </w:pPr>
    </w:p>
    <w:p w14:paraId="5E0C9241">
      <w:pPr>
        <w:spacing w:line="360" w:lineRule="auto"/>
        <w:ind w:firstLine="482" w:firstLineChars="200"/>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投标意向确认书</w:t>
      </w:r>
    </w:p>
    <w:p w14:paraId="2353C293">
      <w:pPr>
        <w:spacing w:line="360" w:lineRule="auto"/>
        <w:rPr>
          <w:rFonts w:hint="eastAsia" w:ascii="宋体" w:hAnsi="宋体" w:eastAsia="宋体" w:cs="宋体"/>
          <w:b/>
          <w:bCs/>
          <w:color w:val="000000" w:themeColor="text1"/>
          <w:szCs w:val="24"/>
          <w14:textFill>
            <w14:solidFill>
              <w14:schemeClr w14:val="tx1"/>
            </w14:solidFill>
          </w14:textFill>
        </w:rPr>
      </w:pPr>
    </w:p>
    <w:p w14:paraId="5F5C37A6">
      <w:pPr>
        <w:spacing w:line="360" w:lineRule="auto"/>
        <w:rPr>
          <w:rFonts w:hint="eastAsia" w:ascii="宋体" w:hAnsi="宋体" w:eastAsia="宋体" w:cs="宋体"/>
          <w:color w:val="000000" w:themeColor="text1"/>
          <w:szCs w:val="24"/>
          <w14:textFill>
            <w14:solidFill>
              <w14:schemeClr w14:val="tx1"/>
            </w14:solidFill>
          </w14:textFill>
        </w:rPr>
      </w:pPr>
    </w:p>
    <w:p w14:paraId="6FCFC89F">
      <w:pPr>
        <w:autoSpaceDE w:val="0"/>
        <w:autoSpaceDN w:val="0"/>
        <w:adjustRightInd w:val="0"/>
        <w:spacing w:line="360" w:lineRule="auto"/>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兹声明我方收到了之</w:t>
      </w:r>
      <w:r>
        <w:rPr>
          <w:rFonts w:hint="eastAsia" w:ascii="宋体" w:hAnsi="宋体" w:eastAsia="宋体" w:cs="宋体"/>
          <w:color w:val="000000" w:themeColor="text1"/>
          <w:szCs w:val="24"/>
          <w:u w:val="single"/>
          <w14:textFill>
            <w14:solidFill>
              <w14:schemeClr w14:val="tx1"/>
            </w14:solidFill>
          </w14:textFill>
        </w:rPr>
        <w:t>高州项目、吴川项目2026年度飞灰固化处理服务</w:t>
      </w:r>
      <w:r>
        <w:rPr>
          <w:rFonts w:hint="eastAsia" w:ascii="宋体" w:hAnsi="宋体" w:eastAsia="宋体" w:cs="宋体"/>
          <w:color w:val="000000" w:themeColor="text1"/>
          <w:szCs w:val="24"/>
          <w14:textFill>
            <w14:solidFill>
              <w14:schemeClr w14:val="tx1"/>
            </w14:solidFill>
          </w14:textFill>
        </w:rPr>
        <w:t>的完整招标文件(招标编号：</w:t>
      </w:r>
      <w:r>
        <w:rPr>
          <w:rFonts w:hint="eastAsia" w:ascii="宋体" w:hAnsi="宋体" w:eastAsia="宋体" w:cs="宋体"/>
          <w:b/>
          <w:bCs/>
          <w:color w:val="000000" w:themeColor="text1"/>
          <w:szCs w:val="24"/>
          <w14:textFill>
            <w14:solidFill>
              <w14:schemeClr w14:val="tx1"/>
            </w14:solidFill>
          </w14:textFill>
        </w:rPr>
        <w:t>高州项目ITB-LK-GZ/WCFD-YY-fw-2026-001</w:t>
      </w:r>
      <w:r>
        <w:rPr>
          <w:rFonts w:hint="eastAsia" w:ascii="宋体" w:hAnsi="宋体" w:eastAsia="宋体" w:cs="宋体"/>
          <w:b/>
          <w:color w:val="000000" w:themeColor="text1"/>
          <w:szCs w:val="24"/>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w:t>
      </w:r>
    </w:p>
    <w:p w14:paraId="11507C7E">
      <w:pPr>
        <w:spacing w:line="360" w:lineRule="auto"/>
        <w:ind w:firstLine="48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我方在此确认，将（选择1或2）：</w:t>
      </w:r>
    </w:p>
    <w:p w14:paraId="57C4A3A5">
      <w:pPr>
        <w:spacing w:line="360" w:lineRule="auto"/>
        <w:ind w:left="960" w:leftChars="4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344805</wp:posOffset>
                </wp:positionH>
                <wp:positionV relativeFrom="paragraph">
                  <wp:posOffset>1270</wp:posOffset>
                </wp:positionV>
                <wp:extent cx="159385" cy="169545"/>
                <wp:effectExtent l="8890" t="6350" r="12700" b="5080"/>
                <wp:wrapNone/>
                <wp:docPr id="1311938008" name="Rectangle 8"/>
                <wp:cNvGraphicFramePr/>
                <a:graphic xmlns:a="http://schemas.openxmlformats.org/drawingml/2006/main">
                  <a:graphicData uri="http://schemas.microsoft.com/office/word/2010/wordprocessingShape">
                    <wps:wsp>
                      <wps:cNvSpPr>
                        <a:spLocks noChangeArrowheads="1"/>
                      </wps:cNvSpPr>
                      <wps:spPr bwMode="auto">
                        <a:xfrm>
                          <a:off x="0" y="0"/>
                          <a:ext cx="159385"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27.15pt;margin-top:0.1pt;height:13.35pt;width:12.55pt;z-index:251660288;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AvaWTUAAAABQEAAA8AAAAAAAAAAQAgAAAAIgAAAGRycy9kb3ducmV2LnhtbFBLAQIU&#10;ABQAAAAIAIdO4kDmrHmXMAIAAHoEAAAOAAAAAAAAAAEAIAAAACMBAABkcnMvZTJvRG9jLnhtbFBL&#10;BQYAAAAABgAGAFkBAADFBQ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1不参与本次招标，因为_________________________________。</w:t>
      </w:r>
    </w:p>
    <w:p w14:paraId="2DC6E1C9">
      <w:pPr>
        <w:spacing w:line="360" w:lineRule="auto"/>
        <w:ind w:left="960" w:leftChars="4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1905</wp:posOffset>
                </wp:positionV>
                <wp:extent cx="156210" cy="169545"/>
                <wp:effectExtent l="6985" t="8255" r="8255" b="12700"/>
                <wp:wrapNone/>
                <wp:docPr id="588729471" name="Rectangle 9"/>
                <wp:cNvGraphicFramePr/>
                <a:graphic xmlns:a="http://schemas.openxmlformats.org/drawingml/2006/main">
                  <a:graphicData uri="http://schemas.microsoft.com/office/word/2010/wordprocessingShape">
                    <wps:wsp>
                      <wps:cNvSpPr>
                        <a:spLocks noChangeArrowheads="1"/>
                      </wps:cNvSpPr>
                      <wps:spPr bwMode="auto">
                        <a:xfrm>
                          <a:off x="0" y="0"/>
                          <a:ext cx="156210"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9" o:spid="_x0000_s1026" o:spt="1" style="position:absolute;left:0pt;margin-left:27pt;margin-top:0.15pt;height:13.35pt;width:12.3pt;z-index:251661312;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uI3L9UAAAAFAQAADwAAAAAAAAABACAAAAAiAAAAZHJzL2Rvd25yZXYueG1sUEsBAhQA&#10;FAAAAAgAh07iQLor0O0uAgAAeQQAAA4AAAAAAAAAAQAgAAAAJAEAAGRycy9lMm9Eb2MueG1sUEsF&#10;BgAAAAAGAAYAWQEAAMQFA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2按招标文件的要求编制投标文件，并按规定的日期和时间提交我们的投标文件。</w:t>
      </w:r>
    </w:p>
    <w:p w14:paraId="41D0A4A0">
      <w:pPr>
        <w:pStyle w:val="33"/>
        <w:spacing w:line="360" w:lineRule="auto"/>
        <w:ind w:firstLine="48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注：确认办法是在以上数字前的方框内划</w:t>
      </w:r>
      <w:r>
        <w:rPr>
          <w:rFonts w:hint="eastAsia" w:ascii="宋体" w:hAnsi="宋体" w:eastAsia="宋体" w:cs="宋体"/>
          <w:color w:val="000000" w:themeColor="text1"/>
          <w:sz w:val="24"/>
          <w:szCs w:val="24"/>
          <w14:textFill>
            <w14:solidFill>
              <w14:schemeClr w14:val="tx1"/>
            </w14:solidFill>
          </w14:textFill>
        </w:rPr>
        <w:sym w:font="Symbol" w:char="F0D6"/>
      </w:r>
      <w:r>
        <w:rPr>
          <w:rFonts w:hint="eastAsia" w:ascii="宋体" w:hAnsi="宋体" w:eastAsia="宋体" w:cs="宋体"/>
          <w:color w:val="000000" w:themeColor="text1"/>
          <w:sz w:val="24"/>
          <w:szCs w:val="24"/>
          <w14:textFill>
            <w14:solidFill>
              <w14:schemeClr w14:val="tx1"/>
            </w14:solidFill>
          </w14:textFill>
        </w:rPr>
        <w:t xml:space="preserve">  。</w:t>
      </w:r>
    </w:p>
    <w:p w14:paraId="7C486856">
      <w:pPr>
        <w:spacing w:line="360" w:lineRule="auto"/>
        <w:ind w:firstLine="480"/>
        <w:rPr>
          <w:rFonts w:hint="eastAsia" w:ascii="宋体" w:hAnsi="宋体" w:eastAsia="宋体" w:cs="宋体"/>
          <w:color w:val="000000" w:themeColor="text1"/>
          <w:szCs w:val="24"/>
          <w14:textFill>
            <w14:solidFill>
              <w14:schemeClr w14:val="tx1"/>
            </w14:solidFill>
          </w14:textFill>
        </w:rPr>
      </w:pPr>
    </w:p>
    <w:p w14:paraId="00D79FC3">
      <w:pPr>
        <w:spacing w:line="360" w:lineRule="auto"/>
        <w:ind w:firstLine="480"/>
        <w:rPr>
          <w:rFonts w:hint="eastAsia" w:ascii="宋体" w:hAnsi="宋体" w:eastAsia="宋体" w:cs="宋体"/>
          <w:color w:val="000000" w:themeColor="text1"/>
          <w:szCs w:val="24"/>
          <w14:textFill>
            <w14:solidFill>
              <w14:schemeClr w14:val="tx1"/>
            </w14:solidFill>
          </w14:textFill>
        </w:rPr>
      </w:pPr>
    </w:p>
    <w:p w14:paraId="6B189A55">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p>
    <w:p w14:paraId="29E5AC50">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p>
    <w:p w14:paraId="6B103A9F">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68A5E37D">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p>
    <w:p w14:paraId="3F152AD2">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 xml:space="preserve">               </w:t>
      </w:r>
    </w:p>
    <w:p w14:paraId="2A189029">
      <w:pPr>
        <w:pStyle w:val="5"/>
        <w:spacing w:line="360" w:lineRule="auto"/>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br w:type="page"/>
      </w:r>
      <w:bookmarkStart w:id="38" w:name="_Toc5061"/>
      <w:bookmarkStart w:id="39" w:name="_Toc136173554"/>
      <w:bookmarkStart w:id="40" w:name="_Toc174340230"/>
      <w:bookmarkStart w:id="41" w:name="_Toc174978534"/>
      <w:bookmarkStart w:id="42" w:name="_Toc176085607"/>
      <w:r>
        <w:rPr>
          <w:rFonts w:hint="eastAsia" w:ascii="宋体" w:hAnsi="宋体" w:cs="宋体"/>
          <w:color w:val="000000" w:themeColor="text1"/>
          <w:sz w:val="24"/>
          <w:szCs w:val="24"/>
          <w14:textFill>
            <w14:solidFill>
              <w14:schemeClr w14:val="tx1"/>
            </w14:solidFill>
          </w14:textFill>
        </w:rPr>
        <w:t>附件 1-2：投标联系人确认书格式</w:t>
      </w:r>
      <w:bookmarkEnd w:id="38"/>
      <w:bookmarkEnd w:id="39"/>
      <w:bookmarkEnd w:id="40"/>
      <w:bookmarkEnd w:id="41"/>
      <w:bookmarkEnd w:id="42"/>
    </w:p>
    <w:p w14:paraId="372D3CD6">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ascii="宋体" w:hAnsi="宋体" w:eastAsia="宋体" w:cs="宋体"/>
          <w:sz w:val="24"/>
          <w:szCs w:val="24"/>
        </w:rPr>
        <w:t>深圳市龙岗区坪地街道高桥社区</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2057318D">
      <w:pPr>
        <w:spacing w:line="360" w:lineRule="auto"/>
        <w:ind w:firstLine="787" w:firstLineChars="328"/>
        <w:rPr>
          <w:rFonts w:ascii="宋体" w:hAnsi="宋体" w:eastAsia="宋体" w:cs="宋体"/>
          <w:sz w:val="24"/>
          <w:szCs w:val="24"/>
        </w:rPr>
      </w:pPr>
      <w:r>
        <w:rPr>
          <w:rFonts w:ascii="宋体" w:hAnsi="宋体" w:eastAsia="宋体" w:cs="宋体"/>
          <w:sz w:val="24"/>
          <w:szCs w:val="24"/>
        </w:rPr>
        <w:t>朗坤科技园10楼</w:t>
      </w:r>
    </w:p>
    <w:p w14:paraId="50C84D7F">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sz w:val="24"/>
        </w:rPr>
        <w:t>深圳市朗坤科技股份有限公司</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2F51EE15">
      <w:pPr>
        <w:spacing w:line="360" w:lineRule="auto"/>
        <w:ind w:firstLine="787" w:firstLineChars="328"/>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75277983">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066D8749">
      <w:pPr>
        <w:spacing w:line="360" w:lineRule="auto"/>
        <w:ind w:firstLine="787" w:firstLineChars="328"/>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32EBB631">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17B931E5">
      <w:pPr>
        <w:spacing w:line="360" w:lineRule="auto"/>
        <w:rPr>
          <w:rFonts w:hint="eastAsia" w:ascii="宋体" w:hAnsi="宋体" w:eastAsia="宋体" w:cs="宋体"/>
          <w:color w:val="000000" w:themeColor="text1"/>
          <w:szCs w:val="24"/>
          <w14:textFill>
            <w14:solidFill>
              <w14:schemeClr w14:val="tx1"/>
            </w14:solidFill>
          </w14:textFill>
        </w:rPr>
      </w:pPr>
    </w:p>
    <w:p w14:paraId="36BBEB98">
      <w:pPr>
        <w:spacing w:line="360" w:lineRule="auto"/>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投标联系人确认书</w:t>
      </w:r>
    </w:p>
    <w:p w14:paraId="6249F20B">
      <w:pPr>
        <w:spacing w:line="360" w:lineRule="auto"/>
        <w:rPr>
          <w:rFonts w:hint="eastAsia" w:ascii="宋体" w:hAnsi="宋体" w:eastAsia="宋体" w:cs="宋体"/>
          <w:b/>
          <w:color w:val="000000" w:themeColor="text1"/>
          <w:szCs w:val="24"/>
          <w14:textFill>
            <w14:solidFill>
              <w14:schemeClr w14:val="tx1"/>
            </w14:solidFill>
          </w14:textFill>
        </w:rPr>
      </w:pPr>
    </w:p>
    <w:p w14:paraId="49D7894E">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兹声明我方将按招标文件(招标编号：高州项目、吴川项目</w:t>
      </w:r>
      <w:r>
        <w:rPr>
          <w:rFonts w:hint="eastAsia" w:ascii="宋体" w:hAnsi="宋体" w:eastAsia="宋体" w:cs="宋体"/>
          <w:b/>
          <w:bCs/>
          <w:color w:val="000000" w:themeColor="text1"/>
          <w:szCs w:val="24"/>
          <w14:textFill>
            <w14:solidFill>
              <w14:schemeClr w14:val="tx1"/>
            </w14:solidFill>
          </w14:textFill>
        </w:rPr>
        <w:t>ITB-LK-GZ/WCFD-YY-fw-2026-001</w:t>
      </w:r>
      <w:r>
        <w:rPr>
          <w:rFonts w:hint="eastAsia" w:ascii="宋体" w:hAnsi="宋体" w:eastAsia="宋体" w:cs="宋体"/>
          <w:color w:val="000000" w:themeColor="text1"/>
          <w:szCs w:val="24"/>
          <w14:textFill>
            <w14:solidFill>
              <w14:schemeClr w14:val="tx1"/>
            </w14:solidFill>
          </w14:textFill>
        </w:rPr>
        <w:t xml:space="preserve"> )的要求编制投标文件，并按规定的日期和时间提交我们的投标文件。同时，我方指定</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（先生/女士）为本次投标过程的委托代理人。具体情况如下：</w:t>
      </w:r>
    </w:p>
    <w:p w14:paraId="6CBB5218">
      <w:pPr>
        <w:spacing w:line="360" w:lineRule="auto"/>
        <w:ind w:firstLine="480" w:firstLineChars="200"/>
        <w:jc w:val="left"/>
        <w:rPr>
          <w:rFonts w:hint="eastAsia"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本人</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 xml:space="preserve">（姓名）系 </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公司的法定代表人，现委托本单位人员</w:t>
      </w:r>
      <w:r>
        <w:rPr>
          <w:rFonts w:hint="eastAsia" w:ascii="宋体" w:hAnsi="宋体" w:eastAsia="宋体" w:cs="宋体"/>
          <w:bCs/>
          <w:color w:val="000000" w:themeColor="text1"/>
          <w:kern w:val="0"/>
          <w:szCs w:val="24"/>
          <w:u w:val="single"/>
          <w14:textFill>
            <w14:solidFill>
              <w14:schemeClr w14:val="tx1"/>
            </w14:solidFill>
          </w14:textFill>
        </w:rPr>
        <w:t xml:space="preserve">（姓名），身份证号码：       手机号码：                     </w:t>
      </w:r>
      <w:r>
        <w:rPr>
          <w:rFonts w:hint="eastAsia" w:ascii="宋体" w:hAnsi="宋体" w:eastAsia="宋体" w:cs="宋体"/>
          <w:bCs/>
          <w:color w:val="000000" w:themeColor="text1"/>
          <w:kern w:val="0"/>
          <w:szCs w:val="24"/>
          <w14:textFill>
            <w14:solidFill>
              <w14:schemeClr w14:val="tx1"/>
            </w14:solidFill>
          </w14:textFill>
        </w:rPr>
        <w:t xml:space="preserve">   为我方代理人。代理人根据授权，以我方名义参与贵司</w:t>
      </w:r>
      <w:r>
        <w:rPr>
          <w:rFonts w:hint="eastAsia" w:ascii="宋体" w:hAnsi="宋体" w:eastAsia="宋体" w:cs="宋体"/>
          <w:color w:val="000000" w:themeColor="text1"/>
          <w:szCs w:val="24"/>
          <w:u w:val="single"/>
          <w14:textFill>
            <w14:solidFill>
              <w14:schemeClr w14:val="tx1"/>
            </w14:solidFill>
          </w14:textFill>
        </w:rPr>
        <w:t>高州项目、吴川项目2026年度飞灰固化处理服务</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的投标工作及处理有关商务报价事宜。我司接受电子档招标文件，请将相关招标资料发送至</w:t>
      </w:r>
    </w:p>
    <w:p w14:paraId="69495DF9">
      <w:pPr>
        <w:spacing w:line="360" w:lineRule="auto"/>
        <w:ind w:firstLine="480" w:firstLineChars="200"/>
        <w:jc w:val="left"/>
        <w:rPr>
          <w:rFonts w:hint="eastAsia"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邮箱地址：</w:t>
      </w:r>
      <w:r>
        <w:rPr>
          <w:rFonts w:hint="eastAsia" w:ascii="宋体" w:hAnsi="宋体" w:eastAsia="宋体" w:cs="宋体"/>
          <w:bCs/>
          <w:color w:val="000000" w:themeColor="text1"/>
          <w:kern w:val="0"/>
          <w:szCs w:val="24"/>
          <w:u w:val="single"/>
          <w14:textFill>
            <w14:solidFill>
              <w14:schemeClr w14:val="tx1"/>
            </w14:solidFill>
          </w14:textFill>
        </w:rPr>
        <w:t xml:space="preserve">                      </w:t>
      </w:r>
    </w:p>
    <w:p w14:paraId="3EA71204">
      <w:pPr>
        <w:spacing w:line="360" w:lineRule="auto"/>
        <w:ind w:firstLine="480" w:firstLineChars="200"/>
        <w:jc w:val="left"/>
        <w:rPr>
          <w:rFonts w:hint="eastAsia"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代理人无转委托权。</w:t>
      </w:r>
    </w:p>
    <w:p w14:paraId="2A6B0742">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公司名称：</w:t>
      </w:r>
      <w:r>
        <w:rPr>
          <w:rFonts w:hint="eastAsia" w:ascii="宋体" w:hAnsi="宋体" w:eastAsia="宋体" w:cs="宋体"/>
          <w:color w:val="000000" w:themeColor="text1"/>
          <w:szCs w:val="24"/>
          <w:u w:val="single"/>
          <w14:textFill>
            <w14:solidFill>
              <w14:schemeClr w14:val="tx1"/>
            </w14:solidFill>
          </w14:textFill>
        </w:rPr>
        <w:t xml:space="preserve">                         </w:t>
      </w:r>
    </w:p>
    <w:p w14:paraId="670246B7">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r>
        <w:rPr>
          <w:rFonts w:hint="eastAsia" w:ascii="宋体" w:hAnsi="宋体" w:eastAsia="宋体" w:cs="宋体"/>
          <w:color w:val="000000" w:themeColor="text1"/>
          <w:szCs w:val="24"/>
          <w:u w:val="single"/>
          <w14:textFill>
            <w14:solidFill>
              <w14:schemeClr w14:val="tx1"/>
            </w14:solidFill>
          </w14:textFill>
        </w:rPr>
        <w:t xml:space="preserve">                           </w:t>
      </w:r>
    </w:p>
    <w:p w14:paraId="5D5FCF38">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联系电话：</w:t>
      </w:r>
      <w:r>
        <w:rPr>
          <w:rFonts w:hint="eastAsia" w:ascii="宋体" w:hAnsi="宋体" w:eastAsia="宋体" w:cs="宋体"/>
          <w:color w:val="000000" w:themeColor="text1"/>
          <w:szCs w:val="24"/>
          <w:u w:val="single"/>
          <w14:textFill>
            <w14:solidFill>
              <w14:schemeClr w14:val="tx1"/>
            </w14:solidFill>
          </w14:textFill>
        </w:rPr>
        <w:t xml:space="preserve">                         </w:t>
      </w:r>
    </w:p>
    <w:p w14:paraId="3F9D7109">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szCs w:val="24"/>
          <w:u w:val="single"/>
          <w14:textFill>
            <w14:solidFill>
              <w14:schemeClr w14:val="tx1"/>
            </w14:solidFill>
          </w14:textFill>
        </w:rPr>
        <w:t xml:space="preserve">                             </w:t>
      </w:r>
    </w:p>
    <w:p w14:paraId="16062A02">
      <w:pPr>
        <w:spacing w:line="360" w:lineRule="auto"/>
        <w:jc w:val="right"/>
        <w:rPr>
          <w:rFonts w:hint="eastAsia" w:ascii="宋体" w:hAnsi="宋体" w:eastAsia="宋体" w:cs="宋体"/>
          <w:color w:val="000000" w:themeColor="text1"/>
          <w:szCs w:val="24"/>
          <w14:textFill>
            <w14:solidFill>
              <w14:schemeClr w14:val="tx1"/>
            </w14:solidFill>
          </w14:textFill>
        </w:rPr>
      </w:pPr>
    </w:p>
    <w:p w14:paraId="05864A00">
      <w:pPr>
        <w:spacing w:line="360" w:lineRule="auto"/>
        <w:ind w:right="480" w:firstLine="5400" w:firstLineChars="225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0BD1891E">
      <w:pPr>
        <w:pStyle w:val="3"/>
        <w:spacing w:before="0" w:after="0"/>
        <w:ind w:right="480" w:firstLine="5400" w:firstLineChars="2250"/>
        <w:rPr>
          <w:rFonts w:hint="eastAsia" w:cs="宋体"/>
          <w:bCs/>
          <w:color w:val="000000" w:themeColor="text1"/>
          <w:szCs w:val="24"/>
          <w:lang w:val="en-GB"/>
          <w14:textFill>
            <w14:solidFill>
              <w14:schemeClr w14:val="tx1"/>
            </w14:solidFill>
          </w14:textFill>
        </w:rPr>
      </w:pPr>
      <w:r>
        <w:rPr>
          <w:rFonts w:hint="eastAsia" w:cs="宋体"/>
          <w:bCs/>
          <w:color w:val="000000" w:themeColor="text1"/>
          <w:szCs w:val="24"/>
          <w14:textFill>
            <w14:solidFill>
              <w14:schemeClr w14:val="tx1"/>
            </w14:solidFill>
          </w14:textFill>
        </w:rPr>
        <w:t>日期：</w:t>
      </w:r>
      <w:r>
        <w:rPr>
          <w:rFonts w:hint="eastAsia" w:cs="宋体"/>
          <w:bCs/>
          <w:color w:val="000000" w:themeColor="text1"/>
          <w:szCs w:val="24"/>
          <w:u w:val="single"/>
          <w14:textFill>
            <w14:solidFill>
              <w14:schemeClr w14:val="tx1"/>
            </w14:solidFill>
          </w14:textFill>
        </w:rPr>
        <w:t xml:space="preserve">               </w:t>
      </w:r>
    </w:p>
    <w:p w14:paraId="0085F056">
      <w:pPr>
        <w:spacing w:line="360" w:lineRule="auto"/>
        <w:rPr>
          <w:rFonts w:hint="eastAsia" w:ascii="宋体" w:hAnsi="宋体" w:eastAsia="宋体" w:cs="宋体"/>
          <w:color w:val="000000" w:themeColor="text1"/>
          <w:sz w:val="21"/>
          <w:szCs w:val="21"/>
          <w14:textFill>
            <w14:solidFill>
              <w14:schemeClr w14:val="tx1"/>
            </w14:solidFill>
          </w14:textFill>
        </w:rPr>
      </w:pPr>
    </w:p>
    <w:p w14:paraId="2D61BBB4">
      <w:pPr>
        <w:spacing w:line="360" w:lineRule="auto"/>
        <w:rPr>
          <w:rFonts w:hint="eastAsia" w:ascii="宋体" w:hAnsi="宋体" w:eastAsia="宋体" w:cs="宋体"/>
          <w:color w:val="000000" w:themeColor="text1"/>
          <w14:textFill>
            <w14:solidFill>
              <w14:schemeClr w14:val="tx1"/>
            </w14:solidFill>
          </w14:textFill>
        </w:rPr>
      </w:pPr>
    </w:p>
    <w:p w14:paraId="196AC588">
      <w:pPr>
        <w:pStyle w:val="4"/>
        <w:numPr>
          <w:ilvl w:val="0"/>
          <w:numId w:val="1"/>
        </w:numPr>
        <w:spacing w:before="120" w:beforeLines="50" w:after="120" w:afterLines="50"/>
        <w:ind w:left="1066" w:hanging="1066"/>
        <w:rPr>
          <w:rFonts w:hint="eastAsia" w:ascii="宋体" w:hAnsi="宋体" w:eastAsia="宋体" w:cs="宋体"/>
          <w:color w:val="000000" w:themeColor="text1"/>
          <w:sz w:val="28"/>
          <w:szCs w:val="28"/>
          <w14:textFill>
            <w14:solidFill>
              <w14:schemeClr w14:val="tx1"/>
            </w14:solidFill>
          </w14:textFill>
        </w:rPr>
      </w:pPr>
      <w:bookmarkStart w:id="43" w:name="_Toc136173555"/>
      <w:bookmarkStart w:id="44" w:name="_Toc176085608"/>
      <w:bookmarkStart w:id="45" w:name="_Toc17117"/>
      <w:r>
        <w:rPr>
          <w:rFonts w:hint="eastAsia" w:ascii="宋体" w:hAnsi="宋体" w:eastAsia="宋体" w:cs="宋体"/>
          <w:color w:val="000000" w:themeColor="text1"/>
          <w:sz w:val="32"/>
          <w:szCs w:val="32"/>
          <w14:textFill>
            <w14:solidFill>
              <w14:schemeClr w14:val="tx1"/>
            </w14:solidFill>
          </w14:textFill>
        </w:rPr>
        <w:t>投标须知</w:t>
      </w:r>
      <w:bookmarkEnd w:id="43"/>
      <w:bookmarkEnd w:id="44"/>
      <w:bookmarkEnd w:id="45"/>
    </w:p>
    <w:p w14:paraId="3028A8EB">
      <w:pPr>
        <w:pStyle w:val="5"/>
        <w:spacing w:before="120" w:beforeLines="50" w:after="120" w:afterLines="50" w:line="360" w:lineRule="auto"/>
        <w:rPr>
          <w:rFonts w:hint="eastAsia" w:ascii="宋体" w:hAnsi="宋体" w:cs="宋体"/>
          <w:color w:val="000000" w:themeColor="text1"/>
          <w14:textFill>
            <w14:solidFill>
              <w14:schemeClr w14:val="tx1"/>
            </w14:solidFill>
          </w14:textFill>
        </w:rPr>
      </w:pPr>
      <w:bookmarkStart w:id="46" w:name="_Toc144974496"/>
      <w:bookmarkStart w:id="47" w:name="_Toc179632545"/>
      <w:bookmarkStart w:id="48" w:name="_Toc152042304"/>
      <w:bookmarkStart w:id="49" w:name="_Toc152045528"/>
      <w:bookmarkStart w:id="50" w:name="_Toc246996917"/>
      <w:bookmarkStart w:id="51" w:name="_Toc247085688"/>
      <w:bookmarkStart w:id="52" w:name="_Toc136173556"/>
      <w:bookmarkStart w:id="53" w:name="_Toc296602419"/>
      <w:bookmarkStart w:id="54" w:name="_Toc11660"/>
      <w:bookmarkStart w:id="55" w:name="_Toc246996174"/>
      <w:r>
        <w:rPr>
          <w:rFonts w:hint="eastAsia" w:ascii="宋体" w:hAnsi="宋体" w:cs="宋体"/>
          <w:color w:val="000000" w:themeColor="text1"/>
          <w14:textFill>
            <w14:solidFill>
              <w14:schemeClr w14:val="tx1"/>
            </w14:solidFill>
          </w14:textFill>
        </w:rPr>
        <w:t>第一部分 投标人须知前附表</w:t>
      </w:r>
      <w:bookmarkEnd w:id="46"/>
      <w:bookmarkEnd w:id="47"/>
      <w:bookmarkEnd w:id="48"/>
      <w:bookmarkEnd w:id="49"/>
      <w:bookmarkEnd w:id="50"/>
      <w:bookmarkEnd w:id="51"/>
      <w:bookmarkEnd w:id="52"/>
      <w:bookmarkEnd w:id="53"/>
      <w:bookmarkEnd w:id="54"/>
      <w:bookmarkEnd w:id="55"/>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35F3BCB0">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22E50B8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47F865E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1F69B93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编  列  内  容</w:t>
            </w:r>
          </w:p>
        </w:tc>
      </w:tr>
      <w:tr w14:paraId="2908A6B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29A84E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第一章1</w:t>
            </w:r>
          </w:p>
        </w:tc>
        <w:tc>
          <w:tcPr>
            <w:tcW w:w="2126" w:type="dxa"/>
            <w:tcBorders>
              <w:top w:val="single" w:color="auto" w:sz="4" w:space="0"/>
              <w:left w:val="single" w:color="auto" w:sz="4" w:space="0"/>
              <w:bottom w:val="single" w:color="auto" w:sz="4" w:space="0"/>
              <w:right w:val="single" w:color="auto" w:sz="4" w:space="0"/>
            </w:tcBorders>
            <w:vAlign w:val="center"/>
          </w:tcPr>
          <w:p w14:paraId="5CE8768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5D178A6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名称：深圳市朗坤科技股份有限公司</w:t>
            </w:r>
          </w:p>
          <w:p w14:paraId="3B8E503A">
            <w:pPr>
              <w:spacing w:line="360" w:lineRule="auto"/>
              <w:jc w:val="left"/>
              <w:rPr>
                <w:rFonts w:hint="eastAsia"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地址：深圳市龙岗区坪地街道高桥社区朗坤科技园10楼</w:t>
            </w:r>
          </w:p>
          <w:p w14:paraId="41247EB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联系人：舒伟恒 周占颢</w:t>
            </w:r>
          </w:p>
          <w:p w14:paraId="301ECF6F">
            <w:pPr>
              <w:spacing w:line="360" w:lineRule="auto"/>
              <w:jc w:val="left"/>
              <w:rPr>
                <w:rFonts w:eastAsia="宋体"/>
              </w:rPr>
            </w:pPr>
            <w:r>
              <w:rPr>
                <w:rFonts w:hint="eastAsia" w:ascii="宋体" w:hAnsi="宋体" w:eastAsia="宋体" w:cs="宋体"/>
                <w:color w:val="000000" w:themeColor="text1"/>
                <w:sz w:val="21"/>
                <w:szCs w:val="21"/>
                <w14:textFill>
                  <w14:solidFill>
                    <w14:schemeClr w14:val="tx1"/>
                  </w14:solidFill>
                </w14:textFill>
              </w:rPr>
              <w:t>电话：18028710779 、15077290077</w:t>
            </w:r>
          </w:p>
        </w:tc>
      </w:tr>
      <w:tr w14:paraId="7E716E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BEFDE8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第一章2.1.1</w:t>
            </w:r>
          </w:p>
        </w:tc>
        <w:tc>
          <w:tcPr>
            <w:tcW w:w="2126" w:type="dxa"/>
            <w:tcBorders>
              <w:top w:val="single" w:color="auto" w:sz="4" w:space="0"/>
              <w:left w:val="single" w:color="auto" w:sz="4" w:space="0"/>
              <w:bottom w:val="single" w:color="auto" w:sz="4" w:space="0"/>
              <w:right w:val="single" w:color="auto" w:sz="4" w:space="0"/>
            </w:tcBorders>
            <w:vAlign w:val="center"/>
          </w:tcPr>
          <w:p w14:paraId="4C39593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4F201082">
            <w:pPr>
              <w:spacing w:line="360" w:lineRule="auto"/>
              <w:jc w:val="left"/>
              <w:rPr>
                <w:rFonts w:hint="eastAsia"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shd w:val="clear" w:color="auto" w:fill="FFFFFF"/>
                <w14:textFill>
                  <w14:solidFill>
                    <w14:schemeClr w14:val="tx1"/>
                  </w14:solidFill>
                </w14:textFill>
              </w:rPr>
              <w:t>高州项目：高州市绿能环保发电厂                        吴川项目：吴川市环保热力发电项目</w:t>
            </w:r>
          </w:p>
          <w:p w14:paraId="1C26254B">
            <w:pPr>
              <w:spacing w:line="360" w:lineRule="auto"/>
              <w:jc w:val="left"/>
              <w:rPr>
                <w:rFonts w:hint="eastAsia" w:ascii="宋体" w:hAnsi="宋体" w:eastAsia="宋体" w:cs="宋体"/>
                <w:color w:val="000000" w:themeColor="text1"/>
                <w:sz w:val="21"/>
                <w:szCs w:val="21"/>
                <w:shd w:val="clear" w:color="auto" w:fill="FFFFFF"/>
                <w14:textFill>
                  <w14:solidFill>
                    <w14:schemeClr w14:val="tx1"/>
                  </w14:solidFill>
                </w14:textFill>
              </w:rPr>
            </w:pPr>
          </w:p>
        </w:tc>
      </w:tr>
      <w:tr w14:paraId="28BDB75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0A771E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第一章2.1.2</w:t>
            </w:r>
          </w:p>
        </w:tc>
        <w:tc>
          <w:tcPr>
            <w:tcW w:w="2126" w:type="dxa"/>
            <w:tcBorders>
              <w:top w:val="single" w:color="auto" w:sz="4" w:space="0"/>
              <w:left w:val="single" w:color="auto" w:sz="4" w:space="0"/>
              <w:bottom w:val="single" w:color="auto" w:sz="4" w:space="0"/>
              <w:right w:val="single" w:color="auto" w:sz="4" w:space="0"/>
            </w:tcBorders>
            <w:vAlign w:val="center"/>
          </w:tcPr>
          <w:p w14:paraId="12C92D8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地点</w:t>
            </w:r>
          </w:p>
        </w:tc>
        <w:tc>
          <w:tcPr>
            <w:tcW w:w="5954" w:type="dxa"/>
            <w:tcBorders>
              <w:top w:val="single" w:color="auto" w:sz="4" w:space="0"/>
              <w:left w:val="single" w:color="auto" w:sz="4" w:space="0"/>
              <w:bottom w:val="single" w:color="auto" w:sz="4" w:space="0"/>
              <w:right w:val="single" w:color="auto" w:sz="4" w:space="0"/>
            </w:tcBorders>
            <w:vAlign w:val="center"/>
          </w:tcPr>
          <w:p w14:paraId="4AE4EEAF">
            <w:pPr>
              <w:spacing w:line="360" w:lineRule="auto"/>
              <w:jc w:val="left"/>
              <w:rPr>
                <w:rFonts w:hint="eastAsia"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shd w:val="clear" w:color="auto" w:fill="FFFFFF"/>
                <w14:textFill>
                  <w14:solidFill>
                    <w14:schemeClr w14:val="tx1"/>
                  </w14:solidFill>
                </w14:textFill>
              </w:rPr>
              <w:t xml:space="preserve">高州项目地点：高州市绿能环保发电厂及配套设施项目内  </w:t>
            </w:r>
          </w:p>
          <w:p w14:paraId="4BA58A76">
            <w:pPr>
              <w:spacing w:line="360" w:lineRule="auto"/>
              <w:jc w:val="left"/>
              <w:rPr>
                <w:rFonts w:hint="eastAsia"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shd w:val="clear" w:color="auto" w:fill="FFFFFF"/>
                <w14:textFill>
                  <w14:solidFill>
                    <w14:schemeClr w14:val="tx1"/>
                  </w14:solidFill>
                </w14:textFill>
              </w:rPr>
              <w:t>吴川项目地点：吴川市环保热力发电厂及配套设施项目内</w:t>
            </w:r>
          </w:p>
        </w:tc>
      </w:tr>
      <w:tr w14:paraId="6E9C8C2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1307D9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第一章2.2</w:t>
            </w:r>
          </w:p>
        </w:tc>
        <w:tc>
          <w:tcPr>
            <w:tcW w:w="2126" w:type="dxa"/>
            <w:tcBorders>
              <w:top w:val="single" w:color="auto" w:sz="4" w:space="0"/>
              <w:left w:val="single" w:color="auto" w:sz="4" w:space="0"/>
              <w:bottom w:val="single" w:color="auto" w:sz="4" w:space="0"/>
              <w:right w:val="single" w:color="auto" w:sz="4" w:space="0"/>
            </w:tcBorders>
            <w:vAlign w:val="center"/>
          </w:tcPr>
          <w:p w14:paraId="0C4E1D8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2BCEEB68">
            <w:pPr>
              <w:spacing w:line="360" w:lineRule="auto"/>
              <w:jc w:val="left"/>
              <w:rPr>
                <w:rFonts w:hint="eastAsia"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sz w:val="21"/>
                <w:szCs w:val="21"/>
              </w:rPr>
              <w:t>高州项目、吴川</w:t>
            </w:r>
            <w:r>
              <w:rPr>
                <w:rFonts w:hint="eastAsia" w:ascii="宋体" w:hAnsi="宋体" w:eastAsia="宋体" w:cs="宋体"/>
                <w:color w:val="000000" w:themeColor="text1"/>
                <w:sz w:val="21"/>
                <w:szCs w:val="21"/>
                <w:shd w:val="clear" w:color="auto" w:fill="FFFFFF"/>
                <w14:textFill>
                  <w14:solidFill>
                    <w14:schemeClr w14:val="tx1"/>
                  </w14:solidFill>
                </w14:textFill>
              </w:rPr>
              <w:t>项目2026年度飞灰固化处理服务的招标，固定单价包括但不限于：人工费（含叉车司机）、厂内运输转运费（含叉车/板车、燃 料、保养等）、材料费（吨袋、药剂、维保材料等）、设备维保费（含因乙方原因导致设备 损坏维修、零件备件更换费用）、工器具费、交通差旅费、食宿费、劳保用品费、外部协调 飞灰固化处理服务合同 3 费、保险费、职业健康体检费、企业管理费、各类检测检验费、安全文明和技术措施费、利 润、税费等为完成《技术规范书》和国家规范规定的所有工作内容所需的费用。</w:t>
            </w:r>
          </w:p>
          <w:p w14:paraId="3C29ACD4">
            <w:pPr>
              <w:spacing w:line="360" w:lineRule="auto"/>
              <w:jc w:val="left"/>
              <w:rPr>
                <w:rFonts w:hint="eastAsia"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shd w:val="clear" w:color="auto" w:fill="FFFFFF"/>
                <w14:textFill>
                  <w14:solidFill>
                    <w14:schemeClr w14:val="tx1"/>
                  </w14:solidFill>
                </w14:textFill>
              </w:rPr>
              <w:t>（2）投标人必须按招标文件提供的报价表格进行报价。投标报价必须注明税率税种。</w:t>
            </w:r>
          </w:p>
          <w:p w14:paraId="25D815C3">
            <w:pPr>
              <w:spacing w:line="360" w:lineRule="auto"/>
              <w:jc w:val="left"/>
              <w:rPr>
                <w:rFonts w:hint="eastAsia"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shd w:val="clear" w:color="auto" w:fill="FFFFFF"/>
                <w14:textFill>
                  <w14:solidFill>
                    <w14:schemeClr w14:val="tx1"/>
                  </w14:solidFill>
                </w14:textFill>
              </w:rPr>
              <w:t>（3）住宿由投标人自理，招标人不提供食堂，投标人饮食费用自理；上述费用投标人应综合考虑在投标报价中。</w:t>
            </w:r>
          </w:p>
          <w:p w14:paraId="6DC79E06">
            <w:pPr>
              <w:spacing w:line="360" w:lineRule="auto"/>
              <w:jc w:val="left"/>
              <w:rPr>
                <w:rFonts w:hint="eastAsia"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shd w:val="clear" w:color="auto" w:fill="FFFFFF"/>
                <w14:textFill>
                  <w14:solidFill>
                    <w14:schemeClr w14:val="tx1"/>
                  </w14:solidFill>
                </w14:textFill>
              </w:rPr>
              <w:t>（4）除非合同中另有规定，投标报价应为本标发生的各项应有费用总和，其中包括人工、机械、设备、材料、仪器仪表使用、安全文明、管理、交通运输、食宿、通讯、与同时在现场作业的其它检修单位的施工配合、利润、税金、合同条款规定的保险、政策性文件规定及合同包含的所有风险、责任等。</w:t>
            </w:r>
          </w:p>
          <w:p w14:paraId="1E063143">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shd w:val="clear" w:color="auto" w:fill="FFFFFF"/>
                <w14:textFill>
                  <w14:solidFill>
                    <w14:schemeClr w14:val="tx1"/>
                  </w14:solidFill>
                </w14:textFill>
              </w:rPr>
              <w:t>（5）其他报价要求详见招标文件及招标文件附件。</w:t>
            </w:r>
          </w:p>
        </w:tc>
      </w:tr>
      <w:tr w14:paraId="3BEADEF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BA034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第一章3.1</w:t>
            </w:r>
          </w:p>
        </w:tc>
        <w:tc>
          <w:tcPr>
            <w:tcW w:w="2126" w:type="dxa"/>
            <w:tcBorders>
              <w:top w:val="single" w:color="auto" w:sz="4" w:space="0"/>
              <w:left w:val="single" w:color="auto" w:sz="4" w:space="0"/>
              <w:bottom w:val="single" w:color="auto" w:sz="4" w:space="0"/>
              <w:right w:val="single" w:color="auto" w:sz="4" w:space="0"/>
            </w:tcBorders>
            <w:vAlign w:val="center"/>
          </w:tcPr>
          <w:p w14:paraId="291C4A0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资金来源及比例</w:t>
            </w:r>
          </w:p>
        </w:tc>
        <w:tc>
          <w:tcPr>
            <w:tcW w:w="5954" w:type="dxa"/>
            <w:tcBorders>
              <w:top w:val="single" w:color="auto" w:sz="4" w:space="0"/>
              <w:left w:val="single" w:color="auto" w:sz="4" w:space="0"/>
              <w:bottom w:val="single" w:color="auto" w:sz="4" w:space="0"/>
              <w:right w:val="single" w:color="auto" w:sz="4" w:space="0"/>
            </w:tcBorders>
            <w:vAlign w:val="center"/>
          </w:tcPr>
          <w:p w14:paraId="3D4FDD5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企业自筹100%</w:t>
            </w:r>
          </w:p>
        </w:tc>
      </w:tr>
      <w:tr w14:paraId="5BCF926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C78A8C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第一章3.2</w:t>
            </w:r>
          </w:p>
        </w:tc>
        <w:tc>
          <w:tcPr>
            <w:tcW w:w="2126" w:type="dxa"/>
            <w:tcBorders>
              <w:top w:val="single" w:color="auto" w:sz="4" w:space="0"/>
              <w:left w:val="single" w:color="auto" w:sz="4" w:space="0"/>
              <w:bottom w:val="single" w:color="auto" w:sz="4" w:space="0"/>
              <w:right w:val="single" w:color="auto" w:sz="4" w:space="0"/>
            </w:tcBorders>
            <w:vAlign w:val="center"/>
          </w:tcPr>
          <w:p w14:paraId="7BF0E96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6438382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筹备完成</w:t>
            </w:r>
          </w:p>
        </w:tc>
      </w:tr>
      <w:tr w14:paraId="6DC15A9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52F550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第一章4.2</w:t>
            </w:r>
          </w:p>
        </w:tc>
        <w:tc>
          <w:tcPr>
            <w:tcW w:w="2126" w:type="dxa"/>
            <w:tcBorders>
              <w:top w:val="single" w:color="auto" w:sz="4" w:space="0"/>
              <w:left w:val="single" w:color="auto" w:sz="4" w:space="0"/>
              <w:bottom w:val="single" w:color="auto" w:sz="4" w:space="0"/>
              <w:right w:val="single" w:color="auto" w:sz="4" w:space="0"/>
            </w:tcBorders>
            <w:vAlign w:val="center"/>
          </w:tcPr>
          <w:p w14:paraId="43DDB37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服务期限</w:t>
            </w:r>
          </w:p>
        </w:tc>
        <w:tc>
          <w:tcPr>
            <w:tcW w:w="5954" w:type="dxa"/>
            <w:tcBorders>
              <w:top w:val="single" w:color="auto" w:sz="4" w:space="0"/>
              <w:left w:val="single" w:color="auto" w:sz="4" w:space="0"/>
              <w:bottom w:val="single" w:color="auto" w:sz="4" w:space="0"/>
              <w:right w:val="single" w:color="auto" w:sz="4" w:space="0"/>
            </w:tcBorders>
            <w:vAlign w:val="center"/>
          </w:tcPr>
          <w:p w14:paraId="2B3A2EA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1年，2026年1月1日至2026年12月31日。</w:t>
            </w:r>
          </w:p>
          <w:p w14:paraId="721D6BE6">
            <w:pPr>
              <w:spacing w:line="360" w:lineRule="auto"/>
              <w:jc w:val="left"/>
              <w:rPr>
                <w:rFonts w:hint="eastAsia" w:ascii="宋体" w:hAnsi="宋体" w:eastAsia="宋体" w:cs="宋体"/>
                <w:color w:val="000000" w:themeColor="text1"/>
                <w:szCs w:val="24"/>
                <w14:textFill>
                  <w14:solidFill>
                    <w14:schemeClr w14:val="tx1"/>
                  </w14:solidFill>
                </w14:textFill>
              </w:rPr>
            </w:pPr>
          </w:p>
        </w:tc>
      </w:tr>
      <w:tr w14:paraId="353E233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BCBBB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第一章5</w:t>
            </w:r>
          </w:p>
        </w:tc>
        <w:tc>
          <w:tcPr>
            <w:tcW w:w="2126" w:type="dxa"/>
            <w:tcBorders>
              <w:top w:val="single" w:color="auto" w:sz="4" w:space="0"/>
              <w:left w:val="single" w:color="auto" w:sz="4" w:space="0"/>
              <w:bottom w:val="single" w:color="auto" w:sz="4" w:space="0"/>
              <w:right w:val="single" w:color="auto" w:sz="4" w:space="0"/>
            </w:tcBorders>
            <w:vAlign w:val="center"/>
          </w:tcPr>
          <w:p w14:paraId="3C79BD6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25652B6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满足国家相关标准规范</w:t>
            </w:r>
          </w:p>
        </w:tc>
      </w:tr>
      <w:tr w14:paraId="69A975C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BD911C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第二章1.4.1</w:t>
            </w:r>
          </w:p>
        </w:tc>
        <w:tc>
          <w:tcPr>
            <w:tcW w:w="2126" w:type="dxa"/>
            <w:tcBorders>
              <w:top w:val="single" w:color="auto" w:sz="4" w:space="0"/>
              <w:left w:val="single" w:color="auto" w:sz="4" w:space="0"/>
              <w:bottom w:val="single" w:color="auto" w:sz="4" w:space="0"/>
              <w:right w:val="single" w:color="auto" w:sz="4" w:space="0"/>
            </w:tcBorders>
            <w:vAlign w:val="center"/>
          </w:tcPr>
          <w:p w14:paraId="418BC64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2A415F9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（1）依法在中华人民共和国境内注册并有效存续的企业法人。</w:t>
            </w:r>
          </w:p>
          <w:p w14:paraId="28FDE620">
            <w:pPr>
              <w:overflowPunct w:val="0"/>
              <w:autoSpaceDE w:val="0"/>
              <w:autoSpaceDN w:val="0"/>
              <w:adjustRightInd w:val="0"/>
              <w:snapToGrid w:val="0"/>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bCs/>
                <w:color w:val="000000" w:themeColor="text1"/>
                <w:sz w:val="21"/>
                <w:szCs w:val="21"/>
                <w:shd w:val="clear" w:color="auto" w:fill="FFFFFF"/>
                <w14:textFill>
                  <w14:solidFill>
                    <w14:schemeClr w14:val="tx1"/>
                  </w14:solidFill>
                </w14:textFill>
              </w:rPr>
              <w:t>本次招标</w:t>
            </w:r>
            <w:r>
              <w:rPr>
                <w:rFonts w:hint="eastAsia" w:ascii="宋体" w:hAnsi="宋体" w:eastAsia="宋体" w:cs="宋体"/>
                <w:color w:val="000000" w:themeColor="text1"/>
                <w:sz w:val="21"/>
                <w:szCs w:val="21"/>
                <w:u w:val="single"/>
                <w14:textFill>
                  <w14:solidFill>
                    <w14:schemeClr w14:val="tx1"/>
                  </w14:solidFill>
                </w14:textFill>
              </w:rPr>
              <w:t xml:space="preserve">  接受  </w:t>
            </w:r>
            <w:r>
              <w:rPr>
                <w:rFonts w:hint="eastAsia" w:ascii="宋体" w:hAnsi="宋体" w:eastAsia="宋体" w:cs="宋体"/>
                <w:bCs/>
                <w:color w:val="000000" w:themeColor="text1"/>
                <w:sz w:val="21"/>
                <w:szCs w:val="21"/>
                <w:shd w:val="clear" w:color="auto" w:fill="FFFFFF"/>
                <w14:textFill>
                  <w14:solidFill>
                    <w14:schemeClr w14:val="tx1"/>
                  </w14:solidFill>
                </w14:textFill>
              </w:rPr>
              <w:t>联合体投标。</w:t>
            </w:r>
          </w:p>
          <w:p w14:paraId="2F72162B">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56" w:name="EptNR_5投标人资质条件、能力和信誉"/>
            <w:r>
              <w:rPr>
                <w:rFonts w:hint="eastAsia" w:ascii="宋体" w:hAnsi="宋体" w:eastAsia="宋体" w:cs="宋体"/>
                <w:bCs/>
                <w:color w:val="000000" w:themeColor="text1"/>
                <w:sz w:val="21"/>
                <w:szCs w:val="21"/>
                <w:shd w:val="clear" w:color="auto" w:fill="FFFFFF"/>
                <w14:textFill>
                  <w14:solidFill>
                    <w14:schemeClr w14:val="tx1"/>
                  </w14:solidFill>
                </w14:textFill>
              </w:rPr>
              <w:t>资质条件：投标人企业具备危废品运输许可相关资质、在“广东省固体废物环境监管平台”进行注册</w:t>
            </w:r>
          </w:p>
          <w:bookmarkEnd w:id="56"/>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7123B5A4">
              <w:tblPrEx>
                <w:tblCellMar>
                  <w:top w:w="0" w:type="dxa"/>
                  <w:left w:w="108" w:type="dxa"/>
                  <w:bottom w:w="0" w:type="dxa"/>
                  <w:right w:w="108" w:type="dxa"/>
                </w:tblCellMar>
              </w:tblPrEx>
              <w:tc>
                <w:tcPr>
                  <w:tcW w:w="1309" w:type="dxa"/>
                </w:tcPr>
                <w:p w14:paraId="46C94078">
                  <w:pPr>
                    <w:spacing w:line="360" w:lineRule="auto"/>
                    <w:jc w:val="left"/>
                    <w:rPr>
                      <w:rFonts w:hint="eastAsia" w:ascii="宋体" w:hAnsi="宋体" w:eastAsia="宋体" w:cs="宋体"/>
                      <w:bCs/>
                      <w:color w:val="FF0000"/>
                      <w:sz w:val="21"/>
                      <w:szCs w:val="21"/>
                      <w:shd w:val="clear" w:color="auto" w:fill="FFFFFF"/>
                    </w:rPr>
                  </w:pPr>
                  <w:bookmarkStart w:id="57" w:name="EBd6f1675932a0469f8900035ae3772d5d"/>
                  <w:r>
                    <w:rPr>
                      <w:rFonts w:hint="eastAsia" w:ascii="宋体" w:hAnsi="宋体" w:eastAsia="宋体" w:cs="宋体"/>
                      <w:bCs/>
                      <w:color w:val="FF0000"/>
                      <w:sz w:val="21"/>
                      <w:szCs w:val="21"/>
                      <w:shd w:val="clear" w:color="auto" w:fill="FFFFFF"/>
                    </w:rPr>
                    <w:t>☑财务要求：</w:t>
                  </w:r>
                  <w:bookmarkEnd w:id="57"/>
                </w:p>
              </w:tc>
              <w:tc>
                <w:tcPr>
                  <w:tcW w:w="4509" w:type="dxa"/>
                  <w:gridSpan w:val="2"/>
                </w:tcPr>
                <w:p w14:paraId="31BB150F">
                  <w:pPr>
                    <w:spacing w:line="360" w:lineRule="auto"/>
                    <w:jc w:val="left"/>
                    <w:rPr>
                      <w:rFonts w:hint="eastAsia" w:ascii="宋体" w:hAnsi="宋体" w:eastAsia="宋体" w:cs="宋体"/>
                      <w:bCs/>
                      <w:color w:val="FF0000"/>
                      <w:sz w:val="21"/>
                      <w:szCs w:val="21"/>
                      <w:shd w:val="clear" w:color="auto" w:fill="FFFFFF"/>
                    </w:rPr>
                  </w:pPr>
                  <w:bookmarkStart w:id="58" w:name="EB61084096cda040c1b2a4beb603010156"/>
                  <w:r>
                    <w:rPr>
                      <w:rFonts w:hint="eastAsia" w:ascii="宋体" w:hAnsi="宋体" w:eastAsia="宋体" w:cs="宋体"/>
                      <w:bCs/>
                      <w:color w:val="FF0000"/>
                      <w:sz w:val="21"/>
                      <w:szCs w:val="21"/>
                      <w:shd w:val="clear" w:color="auto" w:fill="FFFFFF"/>
                    </w:rPr>
                    <w:t>近3年</w:t>
                  </w:r>
                  <w:bookmarkEnd w:id="58"/>
                  <w:bookmarkStart w:id="59" w:name="EptNR_5财务要求结束年月日"/>
                  <w:bookmarkEnd w:id="59"/>
                  <w:r>
                    <w:rPr>
                      <w:rFonts w:hint="eastAsia" w:ascii="宋体" w:hAnsi="宋体" w:eastAsia="宋体" w:cs="宋体"/>
                      <w:bCs/>
                      <w:color w:val="FF0000"/>
                      <w:sz w:val="21"/>
                      <w:szCs w:val="21"/>
                      <w:shd w:val="clear" w:color="auto" w:fill="FFFFFF"/>
                    </w:rPr>
                    <w:t>经审计的财务审计报告（2022～2024年度）</w:t>
                  </w:r>
                </w:p>
              </w:tc>
            </w:tr>
            <w:tr w14:paraId="2BEC427A">
              <w:tblPrEx>
                <w:tblCellMar>
                  <w:top w:w="0" w:type="dxa"/>
                  <w:left w:w="108" w:type="dxa"/>
                  <w:bottom w:w="0" w:type="dxa"/>
                  <w:right w:w="108" w:type="dxa"/>
                </w:tblCellMar>
              </w:tblPrEx>
              <w:tc>
                <w:tcPr>
                  <w:tcW w:w="1798" w:type="dxa"/>
                  <w:gridSpan w:val="2"/>
                </w:tcPr>
                <w:p w14:paraId="01FC4294">
                  <w:pPr>
                    <w:spacing w:line="360" w:lineRule="auto"/>
                    <w:jc w:val="left"/>
                    <w:rPr>
                      <w:rFonts w:hint="eastAsia" w:ascii="宋体" w:hAnsi="宋体" w:eastAsia="宋体" w:cs="宋体"/>
                      <w:bCs/>
                      <w:color w:val="FF0000"/>
                      <w:sz w:val="21"/>
                      <w:szCs w:val="21"/>
                      <w:shd w:val="clear" w:color="auto" w:fill="FFFFFF"/>
                    </w:rPr>
                  </w:pPr>
                  <w:bookmarkStart w:id="60" w:name="EB34c35bbdbf794aa39cec8ff47a344096"/>
                  <w:r>
                    <w:rPr>
                      <w:rFonts w:hint="eastAsia" w:ascii="宋体" w:hAnsi="宋体" w:eastAsia="宋体" w:cs="宋体"/>
                      <w:bCs/>
                      <w:color w:val="FF0000"/>
                      <w:sz w:val="21"/>
                      <w:szCs w:val="21"/>
                      <w:shd w:val="clear" w:color="auto" w:fill="FFFFFF"/>
                    </w:rPr>
                    <w:t>☑业绩要求</w:t>
                  </w:r>
                  <w:bookmarkEnd w:id="60"/>
                </w:p>
              </w:tc>
              <w:tc>
                <w:tcPr>
                  <w:tcW w:w="4020" w:type="dxa"/>
                </w:tcPr>
                <w:p w14:paraId="4592CDC1">
                  <w:pPr>
                    <w:spacing w:line="360" w:lineRule="auto"/>
                    <w:jc w:val="left"/>
                    <w:rPr>
                      <w:rFonts w:hint="eastAsia" w:ascii="宋体" w:hAnsi="宋体" w:eastAsia="宋体" w:cs="宋体"/>
                      <w:bCs/>
                      <w:color w:val="FF0000"/>
                      <w:sz w:val="21"/>
                      <w:szCs w:val="21"/>
                      <w:shd w:val="clear" w:color="auto" w:fill="FFFFFF"/>
                    </w:rPr>
                  </w:pPr>
                  <w:r>
                    <w:rPr>
                      <w:rFonts w:hint="eastAsia" w:ascii="宋体" w:hAnsi="宋体" w:eastAsia="宋体" w:cs="宋体"/>
                      <w:bCs/>
                      <w:color w:val="FF0000"/>
                      <w:sz w:val="21"/>
                      <w:szCs w:val="21"/>
                      <w:shd w:val="clear" w:color="auto" w:fill="FFFFFF"/>
                    </w:rPr>
                    <w:t>近5年已完成的类似业绩</w:t>
                  </w:r>
                </w:p>
              </w:tc>
            </w:tr>
            <w:tr w14:paraId="6F88CC54">
              <w:tblPrEx>
                <w:tblCellMar>
                  <w:top w:w="0" w:type="dxa"/>
                  <w:left w:w="108" w:type="dxa"/>
                  <w:bottom w:w="0" w:type="dxa"/>
                  <w:right w:w="108" w:type="dxa"/>
                </w:tblCellMar>
              </w:tblPrEx>
              <w:tc>
                <w:tcPr>
                  <w:tcW w:w="1798" w:type="dxa"/>
                  <w:gridSpan w:val="2"/>
                </w:tcPr>
                <w:p w14:paraId="21BF193D">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1" w:name="EBe32becf5cefe4b81b672f86f8ccea7b3"/>
                  <w:r>
                    <w:rPr>
                      <w:rFonts w:hint="eastAsia" w:ascii="宋体" w:hAnsi="宋体" w:eastAsia="宋体" w:cs="宋体"/>
                      <w:bCs/>
                      <w:color w:val="000000" w:themeColor="text1"/>
                      <w:sz w:val="21"/>
                      <w:szCs w:val="21"/>
                      <w:shd w:val="clear" w:color="auto" w:fill="FFFFFF"/>
                      <w14:textFill>
                        <w14:solidFill>
                          <w14:schemeClr w14:val="tx1"/>
                        </w14:solidFill>
                      </w14:textFill>
                    </w:rPr>
                    <w:t>□信用等级</w:t>
                  </w:r>
                  <w:bookmarkEnd w:id="61"/>
                </w:p>
              </w:tc>
              <w:tc>
                <w:tcPr>
                  <w:tcW w:w="4020" w:type="dxa"/>
                </w:tcPr>
                <w:p w14:paraId="3B38079C">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2" w:name="EB737450bdc9c3442ea0461f6f6b5af8fc"/>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2"/>
                  <w:r>
                    <w:rPr>
                      <w:rFonts w:hint="eastAsia" w:ascii="宋体" w:hAnsi="宋体" w:eastAsia="宋体" w:cs="宋体"/>
                      <w:bCs/>
                      <w:color w:val="000000" w:themeColor="text1"/>
                      <w:sz w:val="21"/>
                      <w:szCs w:val="21"/>
                      <w:shd w:val="clear" w:color="auto" w:fill="FFFFFF"/>
                      <w14:textFill>
                        <w14:solidFill>
                          <w14:schemeClr w14:val="tx1"/>
                        </w14:solidFill>
                      </w14:textFill>
                    </w:rPr>
                    <w:t>AAA</w:t>
                  </w:r>
                  <w:bookmarkStart w:id="63" w:name="EBd3a96533711849c286e998c232bc87b1"/>
                  <w:r>
                    <w:rPr>
                      <w:rFonts w:hint="eastAsia" w:ascii="宋体" w:hAnsi="宋体" w:eastAsia="宋体" w:cs="宋体"/>
                      <w:bCs/>
                      <w:color w:val="000000" w:themeColor="text1"/>
                      <w:sz w:val="21"/>
                      <w:szCs w:val="21"/>
                      <w:shd w:val="clear" w:color="auto" w:fill="FFFFFF"/>
                      <w14:textFill>
                        <w14:solidFill>
                          <w14:schemeClr w14:val="tx1"/>
                        </w14:solidFill>
                      </w14:textFill>
                    </w:rPr>
                    <w:t>□</w:t>
                  </w:r>
                  <w:bookmarkEnd w:id="63"/>
                  <w:r>
                    <w:rPr>
                      <w:rFonts w:hint="eastAsia" w:ascii="宋体" w:hAnsi="宋体" w:eastAsia="宋体" w:cs="宋体"/>
                      <w:bCs/>
                      <w:color w:val="000000" w:themeColor="text1"/>
                      <w:sz w:val="21"/>
                      <w:szCs w:val="21"/>
                      <w:shd w:val="clear" w:color="auto" w:fill="FFFFFF"/>
                      <w14:textFill>
                        <w14:solidFill>
                          <w14:schemeClr w14:val="tx1"/>
                        </w14:solidFill>
                      </w14:textFill>
                    </w:rPr>
                    <w:t>AA</w:t>
                  </w:r>
                  <w:bookmarkStart w:id="64" w:name="EB52c5282d137843328d73366988a51e63"/>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4"/>
                  <w:r>
                    <w:rPr>
                      <w:rFonts w:hint="eastAsia" w:ascii="宋体" w:hAnsi="宋体" w:eastAsia="宋体" w:cs="宋体"/>
                      <w:bCs/>
                      <w:color w:val="000000" w:themeColor="text1"/>
                      <w:sz w:val="21"/>
                      <w:szCs w:val="21"/>
                      <w:shd w:val="clear" w:color="auto" w:fill="FFFFFF"/>
                      <w14:textFill>
                        <w14:solidFill>
                          <w14:schemeClr w14:val="tx1"/>
                        </w14:solidFill>
                      </w14:textFill>
                    </w:rPr>
                    <w:t>A</w:t>
                  </w:r>
                  <w:bookmarkStart w:id="65" w:name="EB261411ed677e4516a8574aa2716817e1"/>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5"/>
                  <w:r>
                    <w:rPr>
                      <w:rFonts w:hint="eastAsia" w:ascii="宋体" w:hAnsi="宋体" w:eastAsia="宋体" w:cs="宋体"/>
                      <w:bCs/>
                      <w:color w:val="000000" w:themeColor="text1"/>
                      <w:sz w:val="21"/>
                      <w:szCs w:val="21"/>
                      <w:shd w:val="clear" w:color="auto" w:fill="FFFFFF"/>
                      <w14:textFill>
                        <w14:solidFill>
                          <w14:schemeClr w14:val="tx1"/>
                        </w14:solidFill>
                      </w14:textFill>
                    </w:rPr>
                    <w:t>BBB</w:t>
                  </w:r>
                  <w:bookmarkStart w:id="66" w:name="EB3011b632322e4d34a7e20819d4bfbbe5"/>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6"/>
                  <w:r>
                    <w:rPr>
                      <w:rFonts w:hint="eastAsia" w:ascii="宋体" w:hAnsi="宋体" w:eastAsia="宋体" w:cs="宋体"/>
                      <w:bCs/>
                      <w:color w:val="000000" w:themeColor="text1"/>
                      <w:sz w:val="21"/>
                      <w:szCs w:val="21"/>
                      <w:shd w:val="clear" w:color="auto" w:fill="FFFFFF"/>
                      <w14:textFill>
                        <w14:solidFill>
                          <w14:schemeClr w14:val="tx1"/>
                        </w14:solidFill>
                      </w14:textFill>
                    </w:rPr>
                    <w:t>BB</w:t>
                  </w:r>
                </w:p>
              </w:tc>
            </w:tr>
            <w:tr w14:paraId="7943D18E">
              <w:tblPrEx>
                <w:tblCellMar>
                  <w:top w:w="0" w:type="dxa"/>
                  <w:left w:w="108" w:type="dxa"/>
                  <w:bottom w:w="0" w:type="dxa"/>
                  <w:right w:w="108" w:type="dxa"/>
                </w:tblCellMar>
              </w:tblPrEx>
              <w:tc>
                <w:tcPr>
                  <w:tcW w:w="1798" w:type="dxa"/>
                  <w:gridSpan w:val="2"/>
                </w:tcPr>
                <w:p w14:paraId="6E13987E">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7" w:name="EBdc8d23f96cca410bbecd263ef5d84c99"/>
                  <w:bookmarkStart w:id="68" w:name="EB2059c6342d244f6eb4119c25b7be051f"/>
                  <w:r>
                    <w:rPr>
                      <w:rFonts w:hint="eastAsia" w:ascii="宋体" w:hAnsi="宋体" w:eastAsia="宋体" w:cs="宋体"/>
                      <w:bCs/>
                      <w:color w:val="000000" w:themeColor="text1"/>
                      <w:sz w:val="21"/>
                      <w:szCs w:val="21"/>
                      <w:shd w:val="clear" w:color="auto" w:fill="FFFFFF"/>
                      <w14:textFill>
                        <w14:solidFill>
                          <w14:schemeClr w14:val="tx1"/>
                        </w14:solidFill>
                      </w14:textFill>
                    </w:rPr>
                    <w:t>☑项目经理资格：</w:t>
                  </w:r>
                  <w:bookmarkEnd w:id="67"/>
                </w:p>
              </w:tc>
              <w:tc>
                <w:tcPr>
                  <w:tcW w:w="4020" w:type="dxa"/>
                </w:tcPr>
                <w:p w14:paraId="00CDFBDC">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bCs/>
                      <w:color w:val="000000" w:themeColor="text1"/>
                      <w:sz w:val="21"/>
                      <w:szCs w:val="21"/>
                      <w:shd w:val="clear" w:color="auto" w:fill="FFFFFF"/>
                      <w14:textFill>
                        <w14:solidFill>
                          <w14:schemeClr w14:val="tx1"/>
                        </w14:solidFill>
                      </w14:textFill>
                    </w:rPr>
                    <w:t>未担任其他在运营项目飞灰填埋场的项目经理。</w:t>
                  </w:r>
                </w:p>
              </w:tc>
            </w:tr>
            <w:tr w14:paraId="7DBFE3BF">
              <w:tblPrEx>
                <w:tblCellMar>
                  <w:top w:w="0" w:type="dxa"/>
                  <w:left w:w="108" w:type="dxa"/>
                  <w:bottom w:w="0" w:type="dxa"/>
                  <w:right w:w="108" w:type="dxa"/>
                </w:tblCellMar>
              </w:tblPrEx>
              <w:tc>
                <w:tcPr>
                  <w:tcW w:w="1798" w:type="dxa"/>
                  <w:gridSpan w:val="2"/>
                </w:tcPr>
                <w:p w14:paraId="39CB1BFD">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其他要求</w:t>
                  </w:r>
                  <w:bookmarkEnd w:id="68"/>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p>
              </w:tc>
              <w:tc>
                <w:tcPr>
                  <w:tcW w:w="4020" w:type="dxa"/>
                </w:tcPr>
                <w:p w14:paraId="3FFD9167">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bCs/>
                      <w:color w:val="000000" w:themeColor="text1"/>
                      <w:sz w:val="21"/>
                      <w:szCs w:val="21"/>
                      <w:shd w:val="clear" w:color="auto" w:fill="FFFFFF"/>
                      <w14:textFill>
                        <w14:solidFill>
                          <w14:schemeClr w14:val="tx1"/>
                        </w14:solidFill>
                      </w14:textFill>
                    </w:rPr>
                    <w:t>详见1.4.4 合格投标人资格审查资料要求</w:t>
                  </w:r>
                </w:p>
              </w:tc>
            </w:tr>
          </w:tbl>
          <w:p w14:paraId="45911398">
            <w:pPr>
              <w:overflowPunct w:val="0"/>
              <w:autoSpaceDE w:val="0"/>
              <w:autoSpaceDN w:val="0"/>
              <w:adjustRightInd w:val="0"/>
              <w:snapToGrid w:val="0"/>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p>
        </w:tc>
      </w:tr>
      <w:tr w14:paraId="76F429B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1818A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第二章1.5.1</w:t>
            </w:r>
          </w:p>
        </w:tc>
        <w:tc>
          <w:tcPr>
            <w:tcW w:w="2126" w:type="dxa"/>
            <w:tcBorders>
              <w:top w:val="single" w:color="auto" w:sz="4" w:space="0"/>
              <w:left w:val="single" w:color="auto" w:sz="4" w:space="0"/>
              <w:bottom w:val="single" w:color="auto" w:sz="4" w:space="0"/>
              <w:right w:val="single" w:color="auto" w:sz="4" w:space="0"/>
            </w:tcBorders>
            <w:vAlign w:val="center"/>
          </w:tcPr>
          <w:p w14:paraId="2877865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0C692A6C">
            <w:pPr>
              <w:spacing w:line="360" w:lineRule="auto"/>
              <w:jc w:val="left"/>
              <w:rPr>
                <w:rFonts w:hint="eastAsia" w:ascii="宋体" w:hAnsi="宋体" w:eastAsia="宋体" w:cs="宋体"/>
                <w:color w:val="000000" w:themeColor="text1"/>
                <w:sz w:val="21"/>
                <w:szCs w:val="21"/>
                <w14:textFill>
                  <w14:solidFill>
                    <w14:schemeClr w14:val="tx1"/>
                  </w14:solidFill>
                </w14:textFill>
              </w:rPr>
            </w:pPr>
            <w:bookmarkStart w:id="69" w:name="EB884bc9f7d2a84575bf222f02b74e5dde"/>
            <w:r>
              <w:rPr>
                <w:rFonts w:hint="eastAsia" w:ascii="宋体" w:hAnsi="宋体" w:eastAsia="宋体" w:cs="宋体"/>
                <w:color w:val="000000" w:themeColor="text1"/>
                <w:sz w:val="21"/>
                <w:szCs w:val="21"/>
                <w14:textFill>
                  <w14:solidFill>
                    <w14:schemeClr w14:val="tx1"/>
                  </w14:solidFill>
                </w14:textFill>
              </w:rPr>
              <w:t>☑投标人准备和参加投标活动所发生的费用自理</w:t>
            </w:r>
          </w:p>
          <w:p w14:paraId="398D25E9">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□其他</w:t>
            </w:r>
            <w:bookmarkEnd w:id="69"/>
          </w:p>
        </w:tc>
      </w:tr>
      <w:tr w14:paraId="6A5B31E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FF15C0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第二章1.6</w:t>
            </w:r>
          </w:p>
        </w:tc>
        <w:tc>
          <w:tcPr>
            <w:tcW w:w="2126" w:type="dxa"/>
            <w:tcBorders>
              <w:top w:val="single" w:color="auto" w:sz="4" w:space="0"/>
              <w:left w:val="single" w:color="auto" w:sz="4" w:space="0"/>
              <w:bottom w:val="single" w:color="auto" w:sz="4" w:space="0"/>
              <w:right w:val="single" w:color="auto" w:sz="4" w:space="0"/>
            </w:tcBorders>
            <w:vAlign w:val="center"/>
          </w:tcPr>
          <w:p w14:paraId="3964267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5224D70F">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p>
        </w:tc>
      </w:tr>
      <w:tr w14:paraId="70F8D94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795D0B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第二章1.7</w:t>
            </w:r>
          </w:p>
        </w:tc>
        <w:tc>
          <w:tcPr>
            <w:tcW w:w="2126" w:type="dxa"/>
            <w:tcBorders>
              <w:top w:val="single" w:color="auto" w:sz="4" w:space="0"/>
              <w:left w:val="single" w:color="auto" w:sz="4" w:space="0"/>
              <w:bottom w:val="single" w:color="auto" w:sz="4" w:space="0"/>
              <w:right w:val="single" w:color="auto" w:sz="4" w:space="0"/>
            </w:tcBorders>
            <w:vAlign w:val="center"/>
          </w:tcPr>
          <w:p w14:paraId="5974007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52430A8E">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p>
        </w:tc>
      </w:tr>
      <w:tr w14:paraId="3A2F313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5B5588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第二章1.8</w:t>
            </w:r>
          </w:p>
        </w:tc>
        <w:tc>
          <w:tcPr>
            <w:tcW w:w="2126" w:type="dxa"/>
            <w:tcBorders>
              <w:top w:val="single" w:color="auto" w:sz="4" w:space="0"/>
              <w:left w:val="single" w:color="auto" w:sz="4" w:space="0"/>
              <w:bottom w:val="single" w:color="auto" w:sz="4" w:space="0"/>
              <w:right w:val="single" w:color="auto" w:sz="4" w:space="0"/>
            </w:tcBorders>
            <w:vAlign w:val="center"/>
          </w:tcPr>
          <w:p w14:paraId="69113EA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559E6FAD">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p>
        </w:tc>
      </w:tr>
      <w:tr w14:paraId="4366414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F7FDE0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第二章1.9.1</w:t>
            </w:r>
          </w:p>
        </w:tc>
        <w:tc>
          <w:tcPr>
            <w:tcW w:w="2126" w:type="dxa"/>
            <w:tcBorders>
              <w:top w:val="single" w:color="auto" w:sz="4" w:space="0"/>
              <w:left w:val="single" w:color="auto" w:sz="4" w:space="0"/>
              <w:bottom w:val="single" w:color="auto" w:sz="4" w:space="0"/>
              <w:right w:val="single" w:color="auto" w:sz="4" w:space="0"/>
            </w:tcBorders>
            <w:vAlign w:val="center"/>
          </w:tcPr>
          <w:p w14:paraId="277489B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3CD49BB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投标人自行前往踏勘</w:t>
            </w:r>
          </w:p>
        </w:tc>
      </w:tr>
      <w:tr w14:paraId="14D20FF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4E20D9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第二章1.10.1</w:t>
            </w:r>
          </w:p>
        </w:tc>
        <w:tc>
          <w:tcPr>
            <w:tcW w:w="2126" w:type="dxa"/>
            <w:tcBorders>
              <w:top w:val="single" w:color="auto" w:sz="4" w:space="0"/>
              <w:left w:val="single" w:color="auto" w:sz="4" w:space="0"/>
              <w:bottom w:val="single" w:color="auto" w:sz="4" w:space="0"/>
              <w:right w:val="single" w:color="auto" w:sz="4" w:space="0"/>
            </w:tcBorders>
            <w:vAlign w:val="center"/>
          </w:tcPr>
          <w:p w14:paraId="2F2F3AE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41F4B2B3">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不召开</w:t>
            </w:r>
          </w:p>
          <w:p w14:paraId="637848A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□召开，召开时间：</w:t>
            </w:r>
          </w:p>
          <w:p w14:paraId="18872CE5">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召开地点：</w:t>
            </w:r>
          </w:p>
        </w:tc>
      </w:tr>
      <w:tr w14:paraId="5917469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9BAD76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第二章1.10.2</w:t>
            </w:r>
          </w:p>
        </w:tc>
        <w:tc>
          <w:tcPr>
            <w:tcW w:w="2126" w:type="dxa"/>
            <w:tcBorders>
              <w:top w:val="single" w:color="auto" w:sz="4" w:space="0"/>
              <w:left w:val="single" w:color="auto" w:sz="4" w:space="0"/>
              <w:bottom w:val="single" w:color="auto" w:sz="4" w:space="0"/>
              <w:right w:val="single" w:color="auto" w:sz="4" w:space="0"/>
            </w:tcBorders>
            <w:vAlign w:val="center"/>
          </w:tcPr>
          <w:p w14:paraId="6FE6B3D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008DC04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预备会召开时间前后2-3个工作日内</w:t>
            </w:r>
          </w:p>
        </w:tc>
      </w:tr>
      <w:tr w14:paraId="79429FB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CFB783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第二章1.10.3</w:t>
            </w:r>
          </w:p>
        </w:tc>
        <w:tc>
          <w:tcPr>
            <w:tcW w:w="2126" w:type="dxa"/>
            <w:tcBorders>
              <w:top w:val="single" w:color="auto" w:sz="4" w:space="0"/>
              <w:left w:val="single" w:color="auto" w:sz="4" w:space="0"/>
              <w:bottom w:val="single" w:color="auto" w:sz="4" w:space="0"/>
              <w:right w:val="single" w:color="auto" w:sz="4" w:space="0"/>
            </w:tcBorders>
            <w:vAlign w:val="center"/>
          </w:tcPr>
          <w:p w14:paraId="064033E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6814991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收到投标人提出问题函件2个工作日内</w:t>
            </w:r>
          </w:p>
        </w:tc>
      </w:tr>
      <w:tr w14:paraId="75D5179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BF6E3F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第二章1.11</w:t>
            </w:r>
          </w:p>
        </w:tc>
        <w:tc>
          <w:tcPr>
            <w:tcW w:w="2126" w:type="dxa"/>
            <w:tcBorders>
              <w:top w:val="single" w:color="auto" w:sz="4" w:space="0"/>
              <w:left w:val="single" w:color="auto" w:sz="4" w:space="0"/>
              <w:bottom w:val="single" w:color="auto" w:sz="4" w:space="0"/>
              <w:right w:val="single" w:color="auto" w:sz="4" w:space="0"/>
            </w:tcBorders>
            <w:vAlign w:val="center"/>
          </w:tcPr>
          <w:p w14:paraId="1994272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63AF4515">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□不允许</w:t>
            </w:r>
          </w:p>
          <w:p w14:paraId="55FA13C4">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允许</w:t>
            </w:r>
          </w:p>
        </w:tc>
      </w:tr>
      <w:tr w14:paraId="235F3DE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AF6464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第二章2.1</w:t>
            </w:r>
          </w:p>
        </w:tc>
        <w:tc>
          <w:tcPr>
            <w:tcW w:w="2126" w:type="dxa"/>
            <w:tcBorders>
              <w:top w:val="single" w:color="auto" w:sz="4" w:space="0"/>
              <w:left w:val="single" w:color="auto" w:sz="4" w:space="0"/>
              <w:bottom w:val="single" w:color="auto" w:sz="4" w:space="0"/>
              <w:right w:val="single" w:color="auto" w:sz="4" w:space="0"/>
            </w:tcBorders>
            <w:vAlign w:val="center"/>
          </w:tcPr>
          <w:p w14:paraId="24F316F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1CC3ECC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r>
      <w:tr w14:paraId="0F03845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7D57AF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第二章4.3</w:t>
            </w:r>
            <w:r>
              <w:rPr>
                <w:rFonts w:hint="eastAsia" w:ascii="宋体" w:hAnsi="宋体" w:eastAsia="宋体" w:cs="宋体"/>
                <w:color w:val="000000" w:themeColor="text1"/>
                <w:sz w:val="21"/>
                <w:szCs w:val="21"/>
                <w:lang w:val="zh-CN"/>
                <w14:textFill>
                  <w14:solidFill>
                    <w14:schemeClr w14:val="tx1"/>
                  </w14:solidFill>
                </w14:textFill>
              </w:rPr>
              <w:t>.1</w:t>
            </w:r>
          </w:p>
        </w:tc>
        <w:tc>
          <w:tcPr>
            <w:tcW w:w="2126" w:type="dxa"/>
            <w:tcBorders>
              <w:top w:val="single" w:color="auto" w:sz="4" w:space="0"/>
              <w:left w:val="single" w:color="auto" w:sz="4" w:space="0"/>
              <w:bottom w:val="single" w:color="auto" w:sz="4" w:space="0"/>
              <w:right w:val="single" w:color="auto" w:sz="4" w:space="0"/>
            </w:tcBorders>
            <w:vAlign w:val="center"/>
          </w:tcPr>
          <w:p w14:paraId="73DB1F3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384A21E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 xml:space="preserve">2025 </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u w:val="single"/>
                <w14:textFill>
                  <w14:solidFill>
                    <w14:schemeClr w14:val="tx1"/>
                  </w14:solidFill>
                </w14:textFill>
              </w:rPr>
              <w:t xml:space="preserve"> 12</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u w:val="single"/>
                <w14:textFill>
                  <w14:solidFill>
                    <w14:schemeClr w14:val="tx1"/>
                  </w14:solidFill>
                </w14:textFill>
              </w:rPr>
              <w:t xml:space="preserve"> 04 </w:t>
            </w:r>
            <w:r>
              <w:rPr>
                <w:rFonts w:hint="eastAsia" w:ascii="宋体" w:hAnsi="宋体" w:eastAsia="宋体" w:cs="宋体"/>
                <w:color w:val="000000" w:themeColor="text1"/>
                <w:sz w:val="21"/>
                <w:szCs w:val="21"/>
                <w14:textFill>
                  <w14:solidFill>
                    <w14:schemeClr w14:val="tx1"/>
                  </w14:solidFill>
                </w14:textFill>
              </w:rPr>
              <w:t>日</w:t>
            </w:r>
            <w:r>
              <w:rPr>
                <w:rFonts w:hint="eastAsia" w:ascii="宋体" w:hAnsi="宋体" w:eastAsia="宋体" w:cs="宋体"/>
                <w:color w:val="000000" w:themeColor="text1"/>
                <w:sz w:val="21"/>
                <w:szCs w:val="21"/>
                <w:u w:val="single"/>
                <w14:textFill>
                  <w14:solidFill>
                    <w14:schemeClr w14:val="tx1"/>
                  </w14:solidFill>
                </w14:textFill>
              </w:rPr>
              <w:t xml:space="preserve"> 18 </w:t>
            </w:r>
            <w:r>
              <w:rPr>
                <w:rFonts w:hint="eastAsia" w:ascii="宋体" w:hAnsi="宋体" w:eastAsia="宋体" w:cs="宋体"/>
                <w:color w:val="000000" w:themeColor="text1"/>
                <w:sz w:val="21"/>
                <w:szCs w:val="21"/>
                <w14:textFill>
                  <w14:solidFill>
                    <w14:schemeClr w14:val="tx1"/>
                  </w14:solidFill>
                </w14:textFill>
              </w:rPr>
              <w:t>时</w:t>
            </w:r>
            <w:r>
              <w:rPr>
                <w:rFonts w:hint="eastAsia" w:ascii="宋体" w:hAnsi="宋体" w:eastAsia="宋体" w:cs="宋体"/>
                <w:color w:val="000000" w:themeColor="text1"/>
                <w:sz w:val="21"/>
                <w:szCs w:val="21"/>
                <w:u w:val="single"/>
                <w14:textFill>
                  <w14:solidFill>
                    <w14:schemeClr w14:val="tx1"/>
                  </w14:solidFill>
                </w14:textFill>
              </w:rPr>
              <w:t xml:space="preserve"> 00  </w:t>
            </w:r>
            <w:r>
              <w:rPr>
                <w:rFonts w:hint="eastAsia" w:ascii="宋体" w:hAnsi="宋体" w:eastAsia="宋体" w:cs="宋体"/>
                <w:color w:val="000000" w:themeColor="text1"/>
                <w:sz w:val="21"/>
                <w:szCs w:val="21"/>
                <w14:textFill>
                  <w14:solidFill>
                    <w14:schemeClr w14:val="tx1"/>
                  </w14:solidFill>
                </w14:textFill>
              </w:rPr>
              <w:t>分</w:t>
            </w:r>
          </w:p>
        </w:tc>
      </w:tr>
      <w:tr w14:paraId="520FABD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4F8ED4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第二章2.2.1</w:t>
            </w:r>
          </w:p>
        </w:tc>
        <w:tc>
          <w:tcPr>
            <w:tcW w:w="2126" w:type="dxa"/>
            <w:tcBorders>
              <w:top w:val="single" w:color="auto" w:sz="4" w:space="0"/>
              <w:left w:val="single" w:color="auto" w:sz="4" w:space="0"/>
              <w:bottom w:val="single" w:color="auto" w:sz="4" w:space="0"/>
              <w:right w:val="single" w:color="auto" w:sz="4" w:space="0"/>
            </w:tcBorders>
            <w:vAlign w:val="center"/>
          </w:tcPr>
          <w:p w14:paraId="2CB27C7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565D3D90">
            <w:pPr>
              <w:widowControl/>
              <w:autoSpaceDE w:val="0"/>
              <w:autoSpaceDN w:val="0"/>
              <w:adjustRightInd w:val="0"/>
              <w:snapToGrid w:val="0"/>
              <w:spacing w:line="36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投标文件递交截止时间5日前。</w:t>
            </w:r>
          </w:p>
        </w:tc>
      </w:tr>
      <w:tr w14:paraId="2AA7986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E3FE12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第二章2.2.2</w:t>
            </w:r>
          </w:p>
        </w:tc>
        <w:tc>
          <w:tcPr>
            <w:tcW w:w="2126" w:type="dxa"/>
            <w:tcBorders>
              <w:top w:val="single" w:color="auto" w:sz="4" w:space="0"/>
              <w:left w:val="single" w:color="auto" w:sz="4" w:space="0"/>
              <w:bottom w:val="single" w:color="auto" w:sz="4" w:space="0"/>
              <w:right w:val="single" w:color="auto" w:sz="4" w:space="0"/>
            </w:tcBorders>
            <w:vAlign w:val="center"/>
          </w:tcPr>
          <w:p w14:paraId="33AD2F5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15FD1F5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收到标书2日内，以邮件盖章澄清为准。</w:t>
            </w:r>
          </w:p>
        </w:tc>
      </w:tr>
      <w:tr w14:paraId="3B1B5C0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A8DAA4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第二章2.2.3</w:t>
            </w:r>
          </w:p>
        </w:tc>
        <w:tc>
          <w:tcPr>
            <w:tcW w:w="2126" w:type="dxa"/>
            <w:tcBorders>
              <w:top w:val="single" w:color="auto" w:sz="4" w:space="0"/>
              <w:left w:val="single" w:color="auto" w:sz="4" w:space="0"/>
              <w:bottom w:val="single" w:color="auto" w:sz="4" w:space="0"/>
              <w:right w:val="single" w:color="auto" w:sz="4" w:space="0"/>
            </w:tcBorders>
            <w:vAlign w:val="center"/>
          </w:tcPr>
          <w:p w14:paraId="27CAA5B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24430B7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收到修改文件2日内，以邮件盖章澄清为准。</w:t>
            </w:r>
          </w:p>
        </w:tc>
      </w:tr>
      <w:tr w14:paraId="263D745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3A627D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第二章3.3.1</w:t>
            </w:r>
          </w:p>
        </w:tc>
        <w:tc>
          <w:tcPr>
            <w:tcW w:w="2126" w:type="dxa"/>
            <w:tcBorders>
              <w:top w:val="single" w:color="auto" w:sz="4" w:space="0"/>
              <w:left w:val="single" w:color="auto" w:sz="4" w:space="0"/>
              <w:bottom w:val="single" w:color="auto" w:sz="4" w:space="0"/>
              <w:right w:val="single" w:color="auto" w:sz="4" w:space="0"/>
            </w:tcBorders>
            <w:vAlign w:val="center"/>
          </w:tcPr>
          <w:p w14:paraId="385294B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5320A3E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w:t>
            </w:r>
            <w:r>
              <w:rPr>
                <w:rFonts w:ascii="宋体" w:hAnsi="宋体" w:eastAsia="宋体" w:cs="宋体"/>
                <w:color w:val="000000" w:themeColor="text1"/>
                <w:sz w:val="21"/>
                <w:szCs w:val="21"/>
                <w14:textFill>
                  <w14:solidFill>
                    <w14:schemeClr w14:val="tx1"/>
                  </w14:solidFill>
                </w14:textFill>
              </w:rPr>
              <w:t>标邀请函、招标文件、招标澄清文件等</w:t>
            </w:r>
            <w:r>
              <w:rPr>
                <w:rFonts w:hint="eastAsia" w:ascii="宋体" w:hAnsi="宋体" w:eastAsia="宋体" w:cs="宋体"/>
                <w:color w:val="000000" w:themeColor="text1"/>
                <w:sz w:val="21"/>
                <w:szCs w:val="21"/>
                <w14:textFill>
                  <w14:solidFill>
                    <w14:schemeClr w14:val="tx1"/>
                  </w14:solidFill>
                </w14:textFill>
              </w:rPr>
              <w:t>。</w:t>
            </w:r>
          </w:p>
        </w:tc>
      </w:tr>
      <w:tr w14:paraId="7239811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EA5251E">
            <w:pPr>
              <w:spacing w:line="360" w:lineRule="auto"/>
              <w:jc w:val="left"/>
              <w:rPr>
                <w:rFonts w:hint="eastAsia"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408DBEE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18E05C1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不限投标价格。</w:t>
            </w:r>
          </w:p>
        </w:tc>
      </w:tr>
      <w:tr w14:paraId="504BDF5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31B66E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第二章3.6.1</w:t>
            </w:r>
          </w:p>
        </w:tc>
        <w:tc>
          <w:tcPr>
            <w:tcW w:w="2126" w:type="dxa"/>
            <w:tcBorders>
              <w:top w:val="single" w:color="auto" w:sz="4" w:space="0"/>
              <w:left w:val="single" w:color="auto" w:sz="4" w:space="0"/>
              <w:bottom w:val="single" w:color="auto" w:sz="4" w:space="0"/>
              <w:right w:val="single" w:color="auto" w:sz="4" w:space="0"/>
            </w:tcBorders>
            <w:vAlign w:val="center"/>
          </w:tcPr>
          <w:p w14:paraId="6D47109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5A537F6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投标截止时间后</w:t>
            </w:r>
            <w:r>
              <w:rPr>
                <w:rFonts w:hint="eastAsia" w:ascii="宋体" w:hAnsi="宋体" w:eastAsia="宋体" w:cs="宋体"/>
                <w:color w:val="000000" w:themeColor="text1"/>
                <w:sz w:val="21"/>
                <w:szCs w:val="21"/>
                <w:u w:val="single"/>
                <w14:textFill>
                  <w14:solidFill>
                    <w14:schemeClr w14:val="tx1"/>
                  </w14:solidFill>
                </w14:textFill>
              </w:rPr>
              <w:t>180</w:t>
            </w:r>
            <w:r>
              <w:rPr>
                <w:rFonts w:hint="eastAsia" w:ascii="宋体" w:hAnsi="宋体" w:eastAsia="宋体" w:cs="宋体"/>
                <w:color w:val="000000" w:themeColor="text1"/>
                <w:sz w:val="21"/>
                <w:szCs w:val="21"/>
                <w14:textFill>
                  <w14:solidFill>
                    <w14:schemeClr w14:val="tx1"/>
                  </w14:solidFill>
                </w14:textFill>
              </w:rPr>
              <w:t>天</w:t>
            </w:r>
          </w:p>
        </w:tc>
      </w:tr>
      <w:tr w14:paraId="35DC609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9C42B02">
            <w:pPr>
              <w:spacing w:line="360" w:lineRule="auto"/>
              <w:jc w:val="left"/>
              <w:rPr>
                <w:rFonts w:hint="eastAsia"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45B29EC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70812056">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不要求递交投标保证金</w:t>
            </w:r>
          </w:p>
          <w:p w14:paraId="24C2755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□要求递交投标保证金</w:t>
            </w:r>
          </w:p>
          <w:p w14:paraId="531D167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投标保证金的形式：</w:t>
            </w:r>
          </w:p>
          <w:p w14:paraId="1DF407C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投标保证金的金额：</w:t>
            </w:r>
          </w:p>
        </w:tc>
      </w:tr>
      <w:tr w14:paraId="3B06E65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272A39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第二章3.5.2</w:t>
            </w:r>
          </w:p>
        </w:tc>
        <w:tc>
          <w:tcPr>
            <w:tcW w:w="2126" w:type="dxa"/>
            <w:tcBorders>
              <w:top w:val="single" w:color="auto" w:sz="4" w:space="0"/>
              <w:left w:val="single" w:color="auto" w:sz="4" w:space="0"/>
              <w:bottom w:val="single" w:color="auto" w:sz="4" w:space="0"/>
              <w:right w:val="single" w:color="auto" w:sz="4" w:space="0"/>
            </w:tcBorders>
            <w:vAlign w:val="center"/>
          </w:tcPr>
          <w:p w14:paraId="62FB1280">
            <w:pPr>
              <w:spacing w:line="360" w:lineRule="auto"/>
              <w:jc w:val="left"/>
              <w:rPr>
                <w:rFonts w:hint="eastAsia" w:ascii="宋体" w:hAnsi="宋体" w:eastAsia="宋体" w:cs="宋体"/>
                <w:color w:val="FF0000"/>
                <w:sz w:val="21"/>
                <w:szCs w:val="21"/>
              </w:rPr>
            </w:pPr>
            <w:r>
              <w:rPr>
                <w:rFonts w:hint="eastAsia" w:ascii="宋体" w:hAnsi="宋体" w:eastAsia="宋体" w:cs="宋体"/>
                <w:color w:val="FF0000"/>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5501A43F">
            <w:pPr>
              <w:spacing w:line="360" w:lineRule="auto"/>
              <w:jc w:val="left"/>
              <w:rPr>
                <w:rFonts w:hint="eastAsia" w:ascii="宋体" w:hAnsi="宋体" w:eastAsia="宋体" w:cs="宋体"/>
                <w:color w:val="FF0000"/>
                <w:sz w:val="21"/>
                <w:szCs w:val="21"/>
              </w:rPr>
            </w:pPr>
            <w:r>
              <w:rPr>
                <w:rFonts w:hint="eastAsia" w:ascii="宋体" w:hAnsi="宋体" w:eastAsia="宋体" w:cs="宋体"/>
                <w:color w:val="FF0000"/>
                <w:sz w:val="21"/>
                <w:szCs w:val="21"/>
                <w:u w:val="single"/>
              </w:rPr>
              <w:t xml:space="preserve">  3 </w:t>
            </w:r>
            <w:r>
              <w:rPr>
                <w:rFonts w:hint="eastAsia" w:ascii="宋体" w:hAnsi="宋体" w:eastAsia="宋体" w:cs="宋体"/>
                <w:color w:val="FF0000"/>
                <w:sz w:val="21"/>
                <w:szCs w:val="21"/>
              </w:rPr>
              <w:t>年</w:t>
            </w:r>
          </w:p>
        </w:tc>
      </w:tr>
      <w:tr w14:paraId="5CE2CA5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2C08A0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第二章3.5.3</w:t>
            </w:r>
          </w:p>
        </w:tc>
        <w:tc>
          <w:tcPr>
            <w:tcW w:w="2126" w:type="dxa"/>
            <w:tcBorders>
              <w:top w:val="single" w:color="auto" w:sz="4" w:space="0"/>
              <w:left w:val="single" w:color="auto" w:sz="4" w:space="0"/>
              <w:bottom w:val="single" w:color="auto" w:sz="4" w:space="0"/>
              <w:right w:val="single" w:color="auto" w:sz="4" w:space="0"/>
            </w:tcBorders>
            <w:vAlign w:val="center"/>
          </w:tcPr>
          <w:p w14:paraId="7F7CEFC2">
            <w:pPr>
              <w:spacing w:line="360" w:lineRule="auto"/>
              <w:jc w:val="left"/>
              <w:rPr>
                <w:rFonts w:hint="eastAsia" w:ascii="宋体" w:hAnsi="宋体" w:eastAsia="宋体" w:cs="宋体"/>
                <w:color w:val="FF0000"/>
                <w:sz w:val="21"/>
                <w:szCs w:val="21"/>
              </w:rPr>
            </w:pPr>
            <w:r>
              <w:rPr>
                <w:rFonts w:hint="eastAsia" w:ascii="宋体" w:hAnsi="宋体" w:eastAsia="宋体" w:cs="宋体"/>
                <w:color w:val="FF0000"/>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7706D9E9">
            <w:pPr>
              <w:spacing w:line="360" w:lineRule="auto"/>
              <w:jc w:val="left"/>
              <w:rPr>
                <w:rFonts w:hint="eastAsia" w:ascii="宋体" w:hAnsi="宋体" w:eastAsia="宋体" w:cs="宋体"/>
                <w:color w:val="FF0000"/>
                <w:sz w:val="21"/>
                <w:szCs w:val="21"/>
              </w:rPr>
            </w:pPr>
            <w:r>
              <w:rPr>
                <w:rFonts w:hint="eastAsia" w:ascii="宋体" w:hAnsi="宋体" w:eastAsia="宋体" w:cs="宋体"/>
                <w:color w:val="FF0000"/>
                <w:sz w:val="21"/>
                <w:szCs w:val="21"/>
                <w:u w:val="single"/>
              </w:rPr>
              <w:t xml:space="preserve">  5 </w:t>
            </w:r>
            <w:r>
              <w:rPr>
                <w:rFonts w:hint="eastAsia" w:ascii="宋体" w:hAnsi="宋体" w:eastAsia="宋体" w:cs="宋体"/>
                <w:color w:val="FF0000"/>
                <w:sz w:val="21"/>
                <w:szCs w:val="21"/>
              </w:rPr>
              <w:t>年</w:t>
            </w:r>
          </w:p>
        </w:tc>
      </w:tr>
      <w:tr w14:paraId="138555B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379277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第二章3.9</w:t>
            </w:r>
          </w:p>
        </w:tc>
        <w:tc>
          <w:tcPr>
            <w:tcW w:w="2126" w:type="dxa"/>
            <w:tcBorders>
              <w:top w:val="single" w:color="auto" w:sz="4" w:space="0"/>
              <w:left w:val="single" w:color="auto" w:sz="4" w:space="0"/>
              <w:bottom w:val="single" w:color="auto" w:sz="4" w:space="0"/>
              <w:right w:val="single" w:color="auto" w:sz="4" w:space="0"/>
            </w:tcBorders>
            <w:vAlign w:val="center"/>
          </w:tcPr>
          <w:p w14:paraId="59EC2BD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5459C91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投标函、授权委托书、投标报价表等由法定代表人或其委托代理人签字并盖单位章，其他内容按招标文件要求由法定代表人或其委托代理人在投标文件相应位置签字并（或）加盖单位公章。</w:t>
            </w:r>
          </w:p>
        </w:tc>
      </w:tr>
      <w:tr w14:paraId="41D89C4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D365B2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第二章4.1</w:t>
            </w:r>
          </w:p>
        </w:tc>
        <w:tc>
          <w:tcPr>
            <w:tcW w:w="2126" w:type="dxa"/>
            <w:tcBorders>
              <w:top w:val="single" w:color="auto" w:sz="4" w:space="0"/>
              <w:left w:val="single" w:color="auto" w:sz="4" w:space="0"/>
              <w:bottom w:val="single" w:color="auto" w:sz="4" w:space="0"/>
              <w:right w:val="single" w:color="auto" w:sz="4" w:space="0"/>
            </w:tcBorders>
            <w:vAlign w:val="center"/>
          </w:tcPr>
          <w:p w14:paraId="29546CF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26E532BF">
            <w:pPr>
              <w:kinsoku w:val="0"/>
              <w:overflowPunct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压缩包应含</w:t>
            </w:r>
            <w:r>
              <w:rPr>
                <w:rFonts w:hint="eastAsia" w:ascii="宋体" w:hAnsi="宋体" w:eastAsia="宋体" w:cs="宋体"/>
                <w:bCs/>
                <w:color w:val="000000" w:themeColor="text1"/>
                <w:sz w:val="21"/>
                <w:szCs w:val="21"/>
                <w14:textFill>
                  <w14:solidFill>
                    <w14:schemeClr w14:val="tx1"/>
                  </w14:solidFill>
                </w14:textFill>
              </w:rPr>
              <w:t>投标函、技术标、商务标</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u w:val="single"/>
                <w14:textFill>
                  <w14:solidFill>
                    <w14:schemeClr w14:val="tx1"/>
                  </w14:solidFill>
                </w14:textFill>
              </w:rPr>
              <w:t>投标文件压缩时要求使用密码加密，开标时再提供密码解压。</w:t>
            </w:r>
          </w:p>
        </w:tc>
      </w:tr>
      <w:tr w14:paraId="17AFA9B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EF65C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54200F9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6D0298E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w:t>
            </w:r>
            <w:r>
              <w:rPr>
                <w:rFonts w:ascii="宋体" w:hAnsi="宋体" w:eastAsia="宋体" w:cs="宋体"/>
                <w:color w:val="000000" w:themeColor="text1"/>
                <w:sz w:val="21"/>
                <w:szCs w:val="21"/>
                <w14:textFill>
                  <w14:solidFill>
                    <w14:schemeClr w14:val="tx1"/>
                  </w14:solidFill>
                </w14:textFill>
              </w:rPr>
              <w:t>标</w:t>
            </w:r>
            <w:r>
              <w:rPr>
                <w:rFonts w:hint="eastAsia" w:ascii="宋体" w:hAnsi="宋体" w:eastAsia="宋体" w:cs="宋体"/>
                <w:color w:val="000000" w:themeColor="text1"/>
                <w:sz w:val="21"/>
                <w:szCs w:val="21"/>
                <w14:textFill>
                  <w14:solidFill>
                    <w14:schemeClr w14:val="tx1"/>
                  </w14:solidFill>
                </w14:textFill>
              </w:rPr>
              <w:t>函</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商</w:t>
            </w:r>
            <w:r>
              <w:rPr>
                <w:rFonts w:ascii="宋体" w:hAnsi="宋体" w:eastAsia="宋体" w:cs="宋体"/>
                <w:color w:val="000000" w:themeColor="text1"/>
                <w:sz w:val="21"/>
                <w:szCs w:val="21"/>
                <w14:textFill>
                  <w14:solidFill>
                    <w14:schemeClr w14:val="tx1"/>
                  </w14:solidFill>
                </w14:textFill>
              </w:rPr>
              <w:t>务资格文件</w:t>
            </w:r>
            <w:r>
              <w:rPr>
                <w:rFonts w:hint="eastAsia" w:ascii="宋体" w:hAnsi="宋体" w:eastAsia="宋体" w:cs="宋体"/>
                <w:color w:val="000000" w:themeColor="text1"/>
                <w:sz w:val="21"/>
                <w:szCs w:val="21"/>
                <w14:textFill>
                  <w14:solidFill>
                    <w14:schemeClr w14:val="tx1"/>
                  </w14:solidFill>
                </w14:textFill>
              </w:rPr>
              <w:t>每页加盖公章扫描成册</w:t>
            </w:r>
          </w:p>
        </w:tc>
      </w:tr>
      <w:tr w14:paraId="2349E5C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90F5B8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6D380A4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封套上</w:t>
            </w:r>
            <w:r>
              <w:rPr>
                <w:rFonts w:hint="eastAsia" w:ascii="宋体" w:hAnsi="宋体" w:eastAsia="宋体" w:cs="宋体"/>
                <w:color w:val="000000" w:themeColor="text1"/>
                <w:sz w:val="21"/>
                <w:szCs w:val="21"/>
                <w14:textFill>
                  <w14:solidFill>
                    <w14:schemeClr w14:val="tx1"/>
                  </w14:solidFill>
                </w14:textFill>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19EF791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投标文件应进行包装、加贴封条，并在封套的封口处加盖投标人单位章。        </w:t>
            </w:r>
            <w:r>
              <w:rPr>
                <w:rFonts w:ascii="宋体" w:hAnsi="宋体" w:eastAsia="宋体" w:cs="宋体"/>
                <w:color w:val="000000" w:themeColor="text1"/>
                <w:sz w:val="21"/>
                <w:szCs w:val="21"/>
                <w14:textFill>
                  <w14:solidFill>
                    <w14:schemeClr w14:val="tx1"/>
                  </w14:solidFill>
                </w14:textFill>
              </w:rPr>
              <w:t xml:space="preserve"> </w:t>
            </w:r>
          </w:p>
          <w:p w14:paraId="1305813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所有投标文件的各密封件封面上需注明项目名称、项目编号、投标人名称及投标文件名称。</w:t>
            </w:r>
          </w:p>
          <w:p w14:paraId="5539BE6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 xml:space="preserve">在  年  月  日  时  </w:t>
            </w:r>
            <w:r>
              <w:rPr>
                <w:rFonts w:hint="eastAsia" w:ascii="宋体" w:hAnsi="宋体" w:eastAsia="宋体" w:cs="宋体"/>
                <w:color w:val="000000" w:themeColor="text1"/>
                <w:sz w:val="21"/>
                <w:szCs w:val="21"/>
                <w14:textFill>
                  <w14:solidFill>
                    <w14:schemeClr w14:val="tx1"/>
                  </w14:solidFill>
                </w14:textFill>
              </w:rPr>
              <w:t>分</w:t>
            </w:r>
            <w:r>
              <w:rPr>
                <w:rFonts w:ascii="宋体" w:hAnsi="宋体" w:eastAsia="宋体" w:cs="宋体"/>
                <w:color w:val="000000" w:themeColor="text1"/>
                <w:sz w:val="21"/>
                <w:szCs w:val="21"/>
                <w14:textFill>
                  <w14:solidFill>
                    <w14:schemeClr w14:val="tx1"/>
                  </w14:solidFill>
                </w14:textFill>
              </w:rPr>
              <w:t>前不得开启</w:t>
            </w:r>
          </w:p>
        </w:tc>
      </w:tr>
      <w:tr w14:paraId="1A820A0A">
        <w:tblPrEx>
          <w:tblCellMar>
            <w:top w:w="0" w:type="dxa"/>
            <w:left w:w="108" w:type="dxa"/>
            <w:bottom w:w="0" w:type="dxa"/>
            <w:right w:w="108" w:type="dxa"/>
          </w:tblCellMar>
        </w:tblPrEx>
        <w:trPr>
          <w:trHeight w:val="387" w:hRule="atLeast"/>
        </w:trPr>
        <w:tc>
          <w:tcPr>
            <w:tcW w:w="1526" w:type="dxa"/>
            <w:tcBorders>
              <w:top w:val="single" w:color="auto" w:sz="4" w:space="0"/>
              <w:left w:val="single" w:color="auto" w:sz="4" w:space="0"/>
              <w:bottom w:val="single" w:color="auto" w:sz="4" w:space="0"/>
              <w:right w:val="single" w:color="auto" w:sz="4" w:space="0"/>
            </w:tcBorders>
            <w:vAlign w:val="center"/>
          </w:tcPr>
          <w:p w14:paraId="65001EB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50A81BA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5C393A6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http://ebidding.leoking.com/Bidding/list_125.aspx，线上投标</w:t>
            </w:r>
          </w:p>
        </w:tc>
      </w:tr>
      <w:tr w14:paraId="5AE79A8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9C7D0D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51A38C3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0A46F818">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w:t>
            </w:r>
          </w:p>
          <w:p w14:paraId="5FA8699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tc>
      </w:tr>
      <w:tr w14:paraId="5BEFF48B">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21FEA4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第二章5.1</w:t>
            </w:r>
          </w:p>
        </w:tc>
        <w:tc>
          <w:tcPr>
            <w:tcW w:w="2126" w:type="dxa"/>
            <w:tcBorders>
              <w:top w:val="single" w:color="auto" w:sz="4" w:space="0"/>
              <w:left w:val="single" w:color="auto" w:sz="4" w:space="0"/>
              <w:right w:val="single" w:color="auto" w:sz="4" w:space="0"/>
            </w:tcBorders>
            <w:vAlign w:val="center"/>
          </w:tcPr>
          <w:p w14:paraId="1D6ACF2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开标时间和地点</w:t>
            </w:r>
          </w:p>
        </w:tc>
        <w:tc>
          <w:tcPr>
            <w:tcW w:w="5954" w:type="dxa"/>
            <w:tcBorders>
              <w:top w:val="single" w:color="auto" w:sz="4" w:space="0"/>
              <w:left w:val="single" w:color="auto" w:sz="4" w:space="0"/>
              <w:right w:val="single" w:color="auto" w:sz="4" w:space="0"/>
            </w:tcBorders>
            <w:vAlign w:val="center"/>
          </w:tcPr>
          <w:p w14:paraId="259ACC1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开标时间：同投标截止时间</w:t>
            </w:r>
          </w:p>
          <w:p w14:paraId="3E94579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开标地点：同投标地址或另行通知。</w:t>
            </w:r>
          </w:p>
        </w:tc>
      </w:tr>
      <w:tr w14:paraId="1AF532D7">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1F85726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第二章5.2</w:t>
            </w:r>
          </w:p>
        </w:tc>
        <w:tc>
          <w:tcPr>
            <w:tcW w:w="2126" w:type="dxa"/>
            <w:tcBorders>
              <w:top w:val="single" w:color="auto" w:sz="4" w:space="0"/>
              <w:left w:val="single" w:color="auto" w:sz="4" w:space="0"/>
              <w:right w:val="single" w:color="auto" w:sz="4" w:space="0"/>
            </w:tcBorders>
            <w:vAlign w:val="center"/>
          </w:tcPr>
          <w:p w14:paraId="5D82C79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开标程序</w:t>
            </w:r>
          </w:p>
        </w:tc>
        <w:tc>
          <w:tcPr>
            <w:tcW w:w="5954" w:type="dxa"/>
            <w:tcBorders>
              <w:top w:val="single" w:color="auto" w:sz="4" w:space="0"/>
              <w:left w:val="single" w:color="auto" w:sz="4" w:space="0"/>
              <w:right w:val="single" w:color="auto" w:sz="4" w:space="0"/>
            </w:tcBorders>
            <w:vAlign w:val="center"/>
          </w:tcPr>
          <w:p w14:paraId="7D2EB99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密封情况检查：检查包装、册书</w:t>
            </w:r>
          </w:p>
          <w:p w14:paraId="04931E1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开标顺序：☑按投标文件送达先后顺序；</w:t>
            </w:r>
            <w:r>
              <w:rPr>
                <w:rFonts w:ascii="宋体" w:hAnsi="宋体" w:eastAsia="宋体" w:cs="宋体"/>
                <w:color w:val="000000" w:themeColor="text1"/>
                <w:sz w:val="21"/>
                <w:szCs w:val="21"/>
                <w14:textFill>
                  <w14:solidFill>
                    <w14:schemeClr w14:val="tx1"/>
                  </w14:solidFill>
                </w14:textFill>
              </w:rPr>
              <w:t>商务</w:t>
            </w:r>
            <w:r>
              <w:rPr>
                <w:rFonts w:hint="eastAsia" w:ascii="宋体" w:hAnsi="宋体" w:eastAsia="宋体" w:cs="宋体"/>
                <w:color w:val="000000" w:themeColor="text1"/>
                <w:sz w:val="21"/>
                <w:szCs w:val="21"/>
                <w14:textFill>
                  <w14:solidFill>
                    <w14:schemeClr w14:val="tx1"/>
                  </w14:solidFill>
                </w14:textFill>
              </w:rPr>
              <w:t>标</w:t>
            </w:r>
            <w:r>
              <w:rPr>
                <w:rFonts w:ascii="宋体" w:hAnsi="宋体" w:eastAsia="宋体" w:cs="宋体"/>
                <w:color w:val="000000" w:themeColor="text1"/>
                <w:sz w:val="21"/>
                <w:szCs w:val="21"/>
                <w14:textFill>
                  <w14:solidFill>
                    <w14:schemeClr w14:val="tx1"/>
                  </w14:solidFill>
                </w14:textFill>
              </w:rPr>
              <w:t>、技术标</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投标函顺序开标。</w:t>
            </w:r>
            <w:r>
              <w:rPr>
                <w:rFonts w:hint="eastAsia" w:ascii="宋体" w:hAnsi="宋体" w:eastAsia="宋体" w:cs="宋体"/>
                <w:color w:val="000000" w:themeColor="text1"/>
                <w:sz w:val="21"/>
                <w:szCs w:val="21"/>
                <w:lang w:val="zh-CN"/>
                <w14:textFill>
                  <w14:solidFill>
                    <w14:schemeClr w14:val="tx1"/>
                  </w14:solidFill>
                </w14:textFill>
              </w:rPr>
              <w:t>审查投标人是否符合合格投标人的资格；投标文件是否完整；是否有计算错误；</w:t>
            </w:r>
            <w:r>
              <w:rPr>
                <w:rFonts w:hint="eastAsia" w:ascii="宋体" w:hAnsi="宋体" w:eastAsia="宋体" w:cs="宋体"/>
                <w:color w:val="000000" w:themeColor="text1"/>
                <w:sz w:val="21"/>
                <w:szCs w:val="21"/>
                <w14:textFill>
                  <w14:solidFill>
                    <w14:schemeClr w14:val="tx1"/>
                  </w14:solidFill>
                </w14:textFill>
              </w:rPr>
              <w:t>投标</w:t>
            </w:r>
            <w:r>
              <w:rPr>
                <w:rFonts w:hint="eastAsia" w:ascii="宋体" w:hAnsi="宋体" w:eastAsia="宋体" w:cs="宋体"/>
                <w:color w:val="000000" w:themeColor="text1"/>
                <w:sz w:val="21"/>
                <w:szCs w:val="21"/>
                <w:lang w:val="zh-CN"/>
                <w14:textFill>
                  <w14:solidFill>
                    <w14:schemeClr w14:val="tx1"/>
                  </w14:solidFill>
                </w14:textFill>
              </w:rPr>
              <w:t>文件是否恰当签署。</w:t>
            </w:r>
          </w:p>
        </w:tc>
      </w:tr>
      <w:tr w14:paraId="1EC6742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BAC329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第二章6.1.1</w:t>
            </w:r>
          </w:p>
        </w:tc>
        <w:tc>
          <w:tcPr>
            <w:tcW w:w="2126" w:type="dxa"/>
            <w:tcBorders>
              <w:top w:val="single" w:color="auto" w:sz="4" w:space="0"/>
              <w:left w:val="single" w:color="auto" w:sz="4" w:space="0"/>
              <w:right w:val="single" w:color="auto" w:sz="4" w:space="0"/>
            </w:tcBorders>
            <w:vAlign w:val="center"/>
          </w:tcPr>
          <w:p w14:paraId="281D34C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评标委员会的组建</w:t>
            </w:r>
          </w:p>
        </w:tc>
        <w:tc>
          <w:tcPr>
            <w:tcW w:w="5954" w:type="dxa"/>
            <w:tcBorders>
              <w:top w:val="single" w:color="auto" w:sz="4" w:space="0"/>
              <w:left w:val="single" w:color="auto" w:sz="4" w:space="0"/>
              <w:right w:val="single" w:color="auto" w:sz="4" w:space="0"/>
            </w:tcBorders>
            <w:vAlign w:val="center"/>
          </w:tcPr>
          <w:p w14:paraId="037D938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评标委员会构成：</w:t>
            </w:r>
            <w:r>
              <w:rPr>
                <w:rFonts w:hint="eastAsia" w:ascii="宋体" w:hAnsi="宋体" w:eastAsia="宋体" w:cs="宋体"/>
                <w:color w:val="000000" w:themeColor="text1"/>
                <w:sz w:val="21"/>
                <w:szCs w:val="21"/>
                <w:u w:val="single"/>
                <w14:textFill>
                  <w14:solidFill>
                    <w14:schemeClr w14:val="tx1"/>
                  </w14:solidFill>
                </w14:textFill>
              </w:rPr>
              <w:t xml:space="preserve">  5   </w:t>
            </w:r>
            <w:r>
              <w:rPr>
                <w:rFonts w:hint="eastAsia" w:ascii="宋体" w:hAnsi="宋体" w:eastAsia="宋体" w:cs="宋体"/>
                <w:color w:val="000000" w:themeColor="text1"/>
                <w:sz w:val="21"/>
                <w:szCs w:val="21"/>
                <w14:textFill>
                  <w14:solidFill>
                    <w14:schemeClr w14:val="tx1"/>
                  </w14:solidFill>
                </w14:textFill>
              </w:rPr>
              <w:t>人，其中技术代表</w:t>
            </w:r>
            <w:r>
              <w:rPr>
                <w:rFonts w:hint="eastAsia" w:ascii="宋体" w:hAnsi="宋体" w:eastAsia="宋体" w:cs="宋体"/>
                <w:color w:val="000000" w:themeColor="text1"/>
                <w:sz w:val="21"/>
                <w:szCs w:val="21"/>
                <w:u w:val="single"/>
                <w14:textFill>
                  <w14:solidFill>
                    <w14:schemeClr w14:val="tx1"/>
                  </w14:solidFill>
                </w14:textFill>
              </w:rPr>
              <w:t xml:space="preserve">  3 </w:t>
            </w:r>
            <w:r>
              <w:rPr>
                <w:rFonts w:hint="eastAsia" w:ascii="宋体" w:hAnsi="宋体" w:eastAsia="宋体" w:cs="宋体"/>
                <w:color w:val="000000" w:themeColor="text1"/>
                <w:sz w:val="21"/>
                <w:szCs w:val="21"/>
                <w14:textFill>
                  <w14:solidFill>
                    <w14:schemeClr w14:val="tx1"/>
                  </w14:solidFill>
                </w14:textFill>
              </w:rPr>
              <w:t>人，财务及其它</w:t>
            </w:r>
            <w:r>
              <w:rPr>
                <w:rFonts w:hint="eastAsia" w:ascii="宋体" w:hAnsi="宋体" w:eastAsia="宋体" w:cs="宋体"/>
                <w:color w:val="000000" w:themeColor="text1"/>
                <w:sz w:val="21"/>
                <w:szCs w:val="21"/>
                <w:u w:val="single"/>
                <w14:textFill>
                  <w14:solidFill>
                    <w14:schemeClr w14:val="tx1"/>
                  </w14:solidFill>
                </w14:textFill>
              </w:rPr>
              <w:t xml:space="preserve"> 2   </w:t>
            </w:r>
            <w:r>
              <w:rPr>
                <w:rFonts w:hint="eastAsia" w:ascii="宋体" w:hAnsi="宋体" w:eastAsia="宋体" w:cs="宋体"/>
                <w:color w:val="000000" w:themeColor="text1"/>
                <w:sz w:val="21"/>
                <w:szCs w:val="21"/>
                <w14:textFill>
                  <w14:solidFill>
                    <w14:schemeClr w14:val="tx1"/>
                  </w14:solidFill>
                </w14:textFill>
              </w:rPr>
              <w:t>人</w:t>
            </w:r>
          </w:p>
          <w:p w14:paraId="03924DF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r>
      <w:tr w14:paraId="4D62726A">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3E6280B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第二章7.1</w:t>
            </w:r>
          </w:p>
        </w:tc>
        <w:tc>
          <w:tcPr>
            <w:tcW w:w="2126" w:type="dxa"/>
            <w:tcBorders>
              <w:top w:val="single" w:color="auto" w:sz="4" w:space="0"/>
              <w:left w:val="single" w:color="auto" w:sz="4" w:space="0"/>
              <w:right w:val="single" w:color="auto" w:sz="4" w:space="0"/>
            </w:tcBorders>
            <w:vAlign w:val="center"/>
          </w:tcPr>
          <w:p w14:paraId="63F1AF9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是否授权评标委员会确定中标人</w:t>
            </w:r>
          </w:p>
        </w:tc>
        <w:tc>
          <w:tcPr>
            <w:tcW w:w="5954" w:type="dxa"/>
            <w:tcBorders>
              <w:top w:val="single" w:color="auto" w:sz="4" w:space="0"/>
              <w:left w:val="single" w:color="auto" w:sz="4" w:space="0"/>
              <w:right w:val="single" w:color="auto" w:sz="4" w:space="0"/>
            </w:tcBorders>
            <w:vAlign w:val="center"/>
          </w:tcPr>
          <w:p w14:paraId="49E956D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p w14:paraId="17B672E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否，推荐的中标候选人数：2-3家。</w:t>
            </w:r>
          </w:p>
        </w:tc>
      </w:tr>
      <w:tr w14:paraId="668185C0">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4CC215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第二章7.2</w:t>
            </w:r>
          </w:p>
        </w:tc>
        <w:tc>
          <w:tcPr>
            <w:tcW w:w="2126" w:type="dxa"/>
            <w:tcBorders>
              <w:top w:val="single" w:color="auto" w:sz="4" w:space="0"/>
              <w:left w:val="single" w:color="auto" w:sz="4" w:space="0"/>
              <w:right w:val="single" w:color="auto" w:sz="4" w:space="0"/>
            </w:tcBorders>
            <w:vAlign w:val="center"/>
          </w:tcPr>
          <w:p w14:paraId="36275EA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中标候选人公示媒介</w:t>
            </w:r>
          </w:p>
        </w:tc>
        <w:tc>
          <w:tcPr>
            <w:tcW w:w="5954" w:type="dxa"/>
            <w:tcBorders>
              <w:top w:val="single" w:color="auto" w:sz="4" w:space="0"/>
              <w:left w:val="single" w:color="auto" w:sz="4" w:space="0"/>
              <w:right w:val="single" w:color="auto" w:sz="4" w:space="0"/>
            </w:tcBorders>
            <w:vAlign w:val="center"/>
          </w:tcPr>
          <w:p w14:paraId="1F67A71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招标人发函中标通知书</w:t>
            </w:r>
          </w:p>
        </w:tc>
      </w:tr>
      <w:tr w14:paraId="52CF51F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1F50EA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第二章7.4.1</w:t>
            </w:r>
          </w:p>
        </w:tc>
        <w:tc>
          <w:tcPr>
            <w:tcW w:w="2126" w:type="dxa"/>
            <w:tcBorders>
              <w:top w:val="single" w:color="auto" w:sz="4" w:space="0"/>
              <w:left w:val="single" w:color="auto" w:sz="4" w:space="0"/>
              <w:bottom w:val="single" w:color="auto" w:sz="4" w:space="0"/>
              <w:right w:val="single" w:color="auto" w:sz="4" w:space="0"/>
            </w:tcBorders>
            <w:vAlign w:val="center"/>
          </w:tcPr>
          <w:p w14:paraId="013F4EA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74B9CC9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有</w:t>
            </w:r>
          </w:p>
          <w:p w14:paraId="16EA87D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无</w:t>
            </w:r>
          </w:p>
          <w:p w14:paraId="3E6AE18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履约担保的形式：</w:t>
            </w:r>
          </w:p>
          <w:p w14:paraId="255BEE3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履约担保的金额：</w:t>
            </w:r>
          </w:p>
        </w:tc>
      </w:tr>
      <w:tr w14:paraId="7E7AD682">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688F062">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需要补充的其他内容</w:t>
            </w:r>
          </w:p>
        </w:tc>
      </w:tr>
      <w:tr w14:paraId="7222F11E">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984439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无</w:t>
            </w:r>
          </w:p>
        </w:tc>
      </w:tr>
      <w:tr w14:paraId="3F1B505E">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188FB3E">
            <w:pPr>
              <w:spacing w:line="360" w:lineRule="auto"/>
              <w:jc w:val="left"/>
              <w:rPr>
                <w:rFonts w:hint="eastAsia" w:ascii="宋体" w:hAnsi="宋体" w:eastAsia="宋体" w:cs="宋体"/>
                <w:color w:val="000000" w:themeColor="text1"/>
                <w:sz w:val="21"/>
                <w:szCs w:val="21"/>
                <w14:textFill>
                  <w14:solidFill>
                    <w14:schemeClr w14:val="tx1"/>
                  </w14:solidFill>
                </w14:textFill>
              </w:rPr>
            </w:pPr>
          </w:p>
        </w:tc>
      </w:tr>
    </w:tbl>
    <w:p w14:paraId="15E6EDA2">
      <w:pPr>
        <w:spacing w:before="120"/>
        <w:rPr>
          <w:rFonts w:hint="eastAsia" w:ascii="宋体" w:hAnsi="宋体" w:eastAsia="宋体" w:cs="宋体"/>
          <w:color w:val="000000" w:themeColor="text1"/>
          <w14:textFill>
            <w14:solidFill>
              <w14:schemeClr w14:val="tx1"/>
            </w14:solidFill>
          </w14:textFill>
        </w:rPr>
      </w:pPr>
    </w:p>
    <w:p w14:paraId="57371E44">
      <w:pPr>
        <w:pStyle w:val="5"/>
        <w:rPr>
          <w:rFonts w:hint="eastAsia" w:ascii="宋体" w:hAnsi="宋体" w:cs="宋体"/>
          <w:color w:val="000000" w:themeColor="text1"/>
          <w:sz w:val="24"/>
          <w:szCs w:val="24"/>
          <w14:textFill>
            <w14:solidFill>
              <w14:schemeClr w14:val="tx1"/>
            </w14:solidFill>
          </w14:textFill>
        </w:rPr>
        <w:sectPr>
          <w:pgSz w:w="11907" w:h="16840"/>
          <w:pgMar w:top="1247" w:right="1361" w:bottom="1247" w:left="1361" w:header="720" w:footer="720" w:gutter="0"/>
          <w:cols w:space="720" w:num="1"/>
          <w:docGrid w:linePitch="286" w:charSpace="0"/>
        </w:sectPr>
      </w:pPr>
      <w:bookmarkStart w:id="70" w:name="_Toc8623"/>
      <w:bookmarkStart w:id="71" w:name="_Toc246996918"/>
      <w:bookmarkStart w:id="72" w:name="_Toc246996175"/>
      <w:bookmarkStart w:id="73" w:name="_Toc144974497"/>
      <w:bookmarkStart w:id="74" w:name="_Toc152045529"/>
      <w:bookmarkStart w:id="75" w:name="_Toc247085689"/>
      <w:bookmarkStart w:id="76" w:name="_Toc152042305"/>
      <w:bookmarkStart w:id="77" w:name="_Toc296602420"/>
      <w:bookmarkStart w:id="78" w:name="_Toc179632546"/>
    </w:p>
    <w:p w14:paraId="7890FC4E">
      <w:pPr>
        <w:pStyle w:val="5"/>
        <w:spacing w:before="120" w:beforeLines="50" w:after="120" w:afterLines="50" w:line="360" w:lineRule="auto"/>
        <w:rPr>
          <w:rFonts w:hint="eastAsia" w:ascii="宋体" w:hAnsi="宋体" w:cs="宋体"/>
          <w:color w:val="000000" w:themeColor="text1"/>
          <w14:textFill>
            <w14:solidFill>
              <w14:schemeClr w14:val="tx1"/>
            </w14:solidFill>
          </w14:textFill>
        </w:rPr>
      </w:pPr>
      <w:bookmarkStart w:id="79" w:name="_Toc136173557"/>
      <w:bookmarkStart w:id="80" w:name="_Toc10574"/>
      <w:r>
        <w:rPr>
          <w:rFonts w:hint="eastAsia" w:ascii="宋体" w:hAnsi="宋体" w:cs="宋体"/>
          <w:color w:val="000000" w:themeColor="text1"/>
          <w14:textFill>
            <w14:solidFill>
              <w14:schemeClr w14:val="tx1"/>
            </w14:solidFill>
          </w14:textFill>
        </w:rPr>
        <w:t>第二部分 投标人须知正文部分</w:t>
      </w:r>
      <w:bookmarkEnd w:id="70"/>
      <w:bookmarkEnd w:id="79"/>
      <w:bookmarkEnd w:id="80"/>
    </w:p>
    <w:p w14:paraId="6D2C21DD">
      <w:pPr>
        <w:pStyle w:val="5"/>
        <w:spacing w:before="240" w:beforeLines="100" w:after="240" w:afterLines="100" w:line="360" w:lineRule="auto"/>
        <w:rPr>
          <w:rFonts w:hint="eastAsia" w:ascii="宋体" w:hAnsi="宋体" w:cs="宋体"/>
          <w:color w:val="000000" w:themeColor="text1"/>
          <w:sz w:val="24"/>
          <w:szCs w:val="24"/>
          <w14:textFill>
            <w14:solidFill>
              <w14:schemeClr w14:val="tx1"/>
            </w14:solidFill>
          </w14:textFill>
        </w:rPr>
      </w:pPr>
      <w:bookmarkStart w:id="81" w:name="_Toc136173558"/>
      <w:bookmarkStart w:id="82" w:name="_Toc22406"/>
      <w:r>
        <w:rPr>
          <w:rFonts w:hint="eastAsia" w:ascii="宋体" w:hAnsi="宋体" w:cs="宋体"/>
          <w:color w:val="000000" w:themeColor="text1"/>
          <w:sz w:val="24"/>
          <w:szCs w:val="24"/>
          <w14:textFill>
            <w14:solidFill>
              <w14:schemeClr w14:val="tx1"/>
            </w14:solidFill>
          </w14:textFill>
        </w:rPr>
        <w:t>1. 总则</w:t>
      </w:r>
      <w:bookmarkEnd w:id="71"/>
      <w:bookmarkEnd w:id="72"/>
      <w:bookmarkEnd w:id="73"/>
      <w:bookmarkEnd w:id="74"/>
      <w:bookmarkEnd w:id="75"/>
      <w:bookmarkEnd w:id="76"/>
      <w:bookmarkEnd w:id="77"/>
      <w:bookmarkEnd w:id="78"/>
      <w:bookmarkEnd w:id="81"/>
      <w:bookmarkEnd w:id="82"/>
    </w:p>
    <w:p w14:paraId="511BF9EB">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83" w:name="_Toc247085690"/>
      <w:bookmarkStart w:id="84" w:name="_Toc179632547"/>
      <w:bookmarkStart w:id="85" w:name="_Toc10644"/>
      <w:bookmarkStart w:id="86" w:name="_Toc296602421"/>
      <w:bookmarkStart w:id="87" w:name="_Toc152042306"/>
      <w:bookmarkStart w:id="88" w:name="_Toc144974498"/>
      <w:bookmarkStart w:id="89" w:name="_Toc246996919"/>
      <w:bookmarkStart w:id="90" w:name="_Toc136173559"/>
      <w:bookmarkStart w:id="91" w:name="_Toc246996176"/>
      <w:bookmarkStart w:id="92" w:name="_Toc152045530"/>
      <w:r>
        <w:rPr>
          <w:rFonts w:hint="eastAsia" w:ascii="宋体" w:hAnsi="宋体" w:eastAsia="宋体" w:cs="宋体"/>
          <w:b/>
          <w:bCs/>
          <w:color w:val="000000" w:themeColor="text1"/>
          <w:szCs w:val="24"/>
          <w14:textFill>
            <w14:solidFill>
              <w14:schemeClr w14:val="tx1"/>
            </w14:solidFill>
          </w14:textFill>
        </w:rPr>
        <w:t>1.1 项目概况</w:t>
      </w:r>
      <w:bookmarkEnd w:id="83"/>
      <w:bookmarkEnd w:id="84"/>
      <w:bookmarkEnd w:id="85"/>
      <w:bookmarkEnd w:id="86"/>
      <w:bookmarkEnd w:id="87"/>
      <w:bookmarkEnd w:id="88"/>
      <w:bookmarkEnd w:id="89"/>
      <w:bookmarkEnd w:id="90"/>
      <w:bookmarkEnd w:id="91"/>
      <w:bookmarkEnd w:id="92"/>
    </w:p>
    <w:p w14:paraId="394F961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1.1.1根据《中华人民共和国招标投标法》等有关法律、法规和规章的规定，本招标项目已具备招标条件，现对本项目服务进行招标。</w:t>
      </w:r>
    </w:p>
    <w:p w14:paraId="3D3DFBD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1.1.2 本招标项目招标人：见投标人须知前附表。</w:t>
      </w:r>
    </w:p>
    <w:p w14:paraId="0DF47C1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1.1.3 本招标项目招标代理机构：见投标人须知前附表。</w:t>
      </w:r>
    </w:p>
    <w:p w14:paraId="774975A3">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1.1.4 本招标项目名称：见投标人须知前附表。</w:t>
      </w:r>
    </w:p>
    <w:p w14:paraId="5832F50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1.1.5 本招标项目服务地点：见投标人须知前附表。</w:t>
      </w:r>
    </w:p>
    <w:p w14:paraId="35EE453D">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93" w:name="_Toc6589"/>
      <w:bookmarkStart w:id="94" w:name="_Toc152045531"/>
      <w:bookmarkStart w:id="95" w:name="_Toc136173560"/>
      <w:bookmarkStart w:id="96" w:name="_Toc179632548"/>
      <w:bookmarkStart w:id="97" w:name="_Toc144974499"/>
      <w:bookmarkStart w:id="98" w:name="_Toc247085691"/>
      <w:bookmarkStart w:id="99" w:name="_Toc152042307"/>
      <w:bookmarkStart w:id="100" w:name="_Toc296602422"/>
      <w:bookmarkStart w:id="101" w:name="_Toc246996920"/>
      <w:bookmarkStart w:id="102" w:name="_Toc246996177"/>
      <w:r>
        <w:rPr>
          <w:rFonts w:hint="eastAsia" w:ascii="宋体" w:hAnsi="宋体" w:eastAsia="宋体" w:cs="宋体"/>
          <w:b/>
          <w:bCs/>
          <w:color w:val="000000" w:themeColor="text1"/>
          <w:szCs w:val="24"/>
          <w14:textFill>
            <w14:solidFill>
              <w14:schemeClr w14:val="tx1"/>
            </w14:solidFill>
          </w14:textFill>
        </w:rPr>
        <w:t>1.2 资金来源和落实情况</w:t>
      </w:r>
      <w:bookmarkEnd w:id="93"/>
      <w:bookmarkEnd w:id="94"/>
      <w:bookmarkEnd w:id="95"/>
      <w:bookmarkEnd w:id="96"/>
      <w:bookmarkEnd w:id="97"/>
      <w:bookmarkEnd w:id="98"/>
      <w:bookmarkEnd w:id="99"/>
      <w:bookmarkEnd w:id="100"/>
      <w:bookmarkEnd w:id="101"/>
      <w:bookmarkEnd w:id="102"/>
    </w:p>
    <w:p w14:paraId="10E30423">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1.2.1 本招标项目的资金来源及出资比例：见投标人须知前附表。</w:t>
      </w:r>
    </w:p>
    <w:p w14:paraId="7022776C">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1.2.2 本招标项目的资金落实情况：见投标人须知前附表。</w:t>
      </w:r>
    </w:p>
    <w:p w14:paraId="754C59BA">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03" w:name="_Toc247085692"/>
      <w:bookmarkStart w:id="104" w:name="_Toc179632549"/>
      <w:bookmarkStart w:id="105" w:name="_Toc296602423"/>
      <w:bookmarkStart w:id="106" w:name="_Toc246996178"/>
      <w:bookmarkStart w:id="107" w:name="_Toc136173561"/>
      <w:bookmarkStart w:id="108" w:name="_Toc246996921"/>
      <w:bookmarkStart w:id="109" w:name="_Toc152042308"/>
      <w:bookmarkStart w:id="110" w:name="_Toc24823"/>
      <w:bookmarkStart w:id="111" w:name="_Toc144974500"/>
      <w:bookmarkStart w:id="112" w:name="_Toc152045532"/>
      <w:r>
        <w:rPr>
          <w:rFonts w:hint="eastAsia" w:ascii="宋体" w:hAnsi="宋体" w:eastAsia="宋体" w:cs="宋体"/>
          <w:b/>
          <w:bCs/>
          <w:color w:val="000000" w:themeColor="text1"/>
          <w:szCs w:val="24"/>
          <w14:textFill>
            <w14:solidFill>
              <w14:schemeClr w14:val="tx1"/>
            </w14:solidFill>
          </w14:textFill>
        </w:rPr>
        <w:t>1.3 招标范围、计划工期、质量要求</w:t>
      </w:r>
      <w:bookmarkEnd w:id="103"/>
      <w:bookmarkEnd w:id="104"/>
      <w:bookmarkEnd w:id="105"/>
      <w:bookmarkEnd w:id="106"/>
      <w:bookmarkEnd w:id="107"/>
      <w:bookmarkEnd w:id="108"/>
      <w:bookmarkEnd w:id="109"/>
      <w:bookmarkEnd w:id="110"/>
      <w:bookmarkEnd w:id="111"/>
      <w:bookmarkEnd w:id="112"/>
    </w:p>
    <w:p w14:paraId="0D1B193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1.3.1 本次招标范围：见投标人须知前附表。</w:t>
      </w:r>
    </w:p>
    <w:p w14:paraId="63A2914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1.3.2 本招标项目的计划工期：见投标人须知前附表。</w:t>
      </w:r>
    </w:p>
    <w:p w14:paraId="6EABD27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1.3.3 本招标项目的质量要求：见投标人须知前附表。</w:t>
      </w:r>
    </w:p>
    <w:p w14:paraId="50B512BD">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13" w:name="_Toc179632551"/>
      <w:bookmarkStart w:id="114" w:name="_Toc9235"/>
      <w:bookmarkStart w:id="115" w:name="_Toc144974502"/>
      <w:bookmarkStart w:id="116" w:name="_Toc246996179"/>
      <w:bookmarkStart w:id="117" w:name="_Toc152045534"/>
      <w:bookmarkStart w:id="118" w:name="_Toc246996922"/>
      <w:bookmarkStart w:id="119" w:name="_Toc136173562"/>
      <w:bookmarkStart w:id="120" w:name="_Toc247085693"/>
      <w:bookmarkStart w:id="121" w:name="_Toc296602424"/>
      <w:bookmarkStart w:id="122" w:name="_Toc152042310"/>
      <w:r>
        <w:rPr>
          <w:rFonts w:hint="eastAsia" w:ascii="宋体" w:hAnsi="宋体" w:eastAsia="宋体" w:cs="宋体"/>
          <w:b/>
          <w:bCs/>
          <w:color w:val="000000" w:themeColor="text1"/>
          <w:szCs w:val="24"/>
          <w14:textFill>
            <w14:solidFill>
              <w14:schemeClr w14:val="tx1"/>
            </w14:solidFill>
          </w14:textFill>
        </w:rPr>
        <w:t>1.4 投标人资格要求</w:t>
      </w:r>
      <w:bookmarkEnd w:id="113"/>
      <w:bookmarkEnd w:id="114"/>
      <w:bookmarkEnd w:id="115"/>
      <w:bookmarkEnd w:id="116"/>
      <w:bookmarkEnd w:id="117"/>
      <w:bookmarkEnd w:id="118"/>
      <w:bookmarkEnd w:id="119"/>
      <w:bookmarkEnd w:id="120"/>
      <w:bookmarkEnd w:id="121"/>
      <w:bookmarkEnd w:id="122"/>
    </w:p>
    <w:p w14:paraId="4D9CC6D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1.4.1 投标人应具备承担本项目服务的资质条件、能力和信誉。</w:t>
      </w:r>
    </w:p>
    <w:p w14:paraId="1284C1FB">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（1）资质条件：见投标人须知前附表；</w:t>
      </w:r>
    </w:p>
    <w:p w14:paraId="0A12838B">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（2）项目经理资格：见投标人须知前附表；</w:t>
      </w:r>
    </w:p>
    <w:p w14:paraId="034D184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（3）财务要求：见投标人须知前附表；</w:t>
      </w:r>
    </w:p>
    <w:p w14:paraId="3FAA33A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（4）业绩要求：见投标人须知前附表；</w:t>
      </w:r>
    </w:p>
    <w:p w14:paraId="7F8BE31C">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（5）其他要求：见投标人须知前附表。</w:t>
      </w:r>
    </w:p>
    <w:p w14:paraId="3494936C">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1.4.2 投标人不得存在下列情形之一：</w:t>
      </w:r>
    </w:p>
    <w:p w14:paraId="42E85F97">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（1）为招标人不具有独立法人资格的附属机构（单位）；</w:t>
      </w:r>
    </w:p>
    <w:p w14:paraId="67A7F706">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（2）为本招标项目前期准备提供设计或咨询服务的； </w:t>
      </w:r>
    </w:p>
    <w:p w14:paraId="31BC92D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（3）为本招标项目的监理人；</w:t>
      </w:r>
    </w:p>
    <w:p w14:paraId="2A5A575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（4）为本招标项目的代建人； </w:t>
      </w:r>
    </w:p>
    <w:p w14:paraId="66D65E07">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（5）为本招标项目提供招标代理服务的； </w:t>
      </w:r>
    </w:p>
    <w:p w14:paraId="48E22B2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（6）与本招标项目的监理人或代建人或招标代理机构同为一个法定代表人的；</w:t>
      </w:r>
    </w:p>
    <w:p w14:paraId="279F481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（7）与本招标项目的监理人或代建人或招标代理机构相互控股或参股的；</w:t>
      </w:r>
    </w:p>
    <w:p w14:paraId="249EA0E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（8）与本招标项目的监理人或代建人或招标代理机构相互任职或工作的；</w:t>
      </w:r>
    </w:p>
    <w:p w14:paraId="748ECCD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（9）被责令停业的； </w:t>
      </w:r>
    </w:p>
    <w:p w14:paraId="25559D5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（10）被暂停或取消投标资格的； </w:t>
      </w:r>
    </w:p>
    <w:p w14:paraId="6082CE6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（11）财产被接管或冻结的；</w:t>
      </w:r>
    </w:p>
    <w:p w14:paraId="15361D0B">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（12）在最近三年内有骗取中标或严重违约或重大工程质量问题的。</w:t>
      </w:r>
    </w:p>
    <w:p w14:paraId="5804E29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1.4.3 单位负责人为同一人或者存在控股、管理关系的不同单位，不得同时参加本招标项目投标。</w:t>
      </w:r>
    </w:p>
    <w:p w14:paraId="4E76CD5F">
      <w:pPr>
        <w:autoSpaceDE w:val="0"/>
        <w:autoSpaceDN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1.4.4 合格投标人资格审查资料要求：详见投标人须知前附表。</w:t>
      </w:r>
    </w:p>
    <w:p w14:paraId="3EB186A9">
      <w:pPr>
        <w:autoSpaceDE w:val="0"/>
        <w:autoSpaceDN w:val="0"/>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合格投标人资格审查资料要求： </w:t>
      </w:r>
    </w:p>
    <w:p w14:paraId="3B87D05F">
      <w:pPr>
        <w:autoSpaceDE w:val="0"/>
        <w:autoSpaceDN w:val="0"/>
        <w:adjustRightInd w:val="0"/>
        <w:spacing w:line="360" w:lineRule="auto"/>
        <w:ind w:left="426"/>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附表1 投标人企业基本情况表；</w:t>
      </w:r>
    </w:p>
    <w:p w14:paraId="64519138">
      <w:pPr>
        <w:autoSpaceDE w:val="0"/>
        <w:autoSpaceDN w:val="0"/>
        <w:adjustRightInd w:val="0"/>
        <w:spacing w:line="360" w:lineRule="auto"/>
        <w:ind w:left="426"/>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附表2 法定代表人资格证明书（三证合一）和企业法人证明书；</w:t>
      </w:r>
    </w:p>
    <w:p w14:paraId="283D00D7">
      <w:pPr>
        <w:autoSpaceDE w:val="0"/>
        <w:autoSpaceDN w:val="0"/>
        <w:adjustRightInd w:val="0"/>
        <w:spacing w:line="360" w:lineRule="auto"/>
        <w:ind w:left="426"/>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附表3 投标人企业资质、生产安全许可证，或能按照采购方要求提供相关的能力证明；</w:t>
      </w:r>
    </w:p>
    <w:p w14:paraId="4755F65F">
      <w:pPr>
        <w:autoSpaceDE w:val="0"/>
        <w:autoSpaceDN w:val="0"/>
        <w:adjustRightInd w:val="0"/>
        <w:spacing w:line="360" w:lineRule="auto"/>
        <w:ind w:left="1055" w:leftChars="177" w:hanging="630" w:hangingChars="3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附表4 近五年企业履约情况表，提供2份以上国内相似案例销售合同（可隐藏单价）和竣工报告或用户报告，成熟稳定运行、可供实地考察的项目案例；</w:t>
      </w:r>
    </w:p>
    <w:p w14:paraId="47D9722D">
      <w:pPr>
        <w:autoSpaceDE w:val="0"/>
        <w:autoSpaceDN w:val="0"/>
        <w:adjustRightInd w:val="0"/>
        <w:spacing w:line="360" w:lineRule="auto"/>
        <w:ind w:left="426"/>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附表5 投标授权委托书及最近三个月社保缴纳证明；</w:t>
      </w:r>
    </w:p>
    <w:p w14:paraId="7BFE161D">
      <w:pPr>
        <w:autoSpaceDE w:val="0"/>
        <w:autoSpaceDN w:val="0"/>
        <w:adjustRightInd w:val="0"/>
        <w:spacing w:line="360" w:lineRule="auto"/>
        <w:ind w:left="426"/>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附表6 拟派出技术负责人简历表；</w:t>
      </w:r>
    </w:p>
    <w:p w14:paraId="5DA35AB5">
      <w:pPr>
        <w:autoSpaceDE w:val="0"/>
        <w:autoSpaceDN w:val="0"/>
        <w:adjustRightInd w:val="0"/>
        <w:spacing w:line="360" w:lineRule="auto"/>
        <w:ind w:left="1160" w:leftChars="177" w:hanging="735" w:hangingChars="35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附表7 近1年财务审计报表和企业信誉资质证明，要求投标人具有良好的银行资信和商业信誉；</w:t>
      </w:r>
    </w:p>
    <w:p w14:paraId="5EDBBB7A">
      <w:pPr>
        <w:autoSpaceDE w:val="0"/>
        <w:autoSpaceDN w:val="0"/>
        <w:adjustRightInd w:val="0"/>
        <w:spacing w:line="360" w:lineRule="auto"/>
        <w:ind w:left="426"/>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 投标承诺书；</w:t>
      </w:r>
    </w:p>
    <w:p w14:paraId="2EB41C7A">
      <w:pPr>
        <w:autoSpaceDE w:val="0"/>
        <w:autoSpaceDN w:val="0"/>
        <w:adjustRightInd w:val="0"/>
        <w:spacing w:line="360" w:lineRule="auto"/>
        <w:ind w:left="1215" w:leftChars="200" w:hanging="735" w:hangingChars="35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附表8招标方认为需满足的其它条件后续补充，收到招标邀请并不代表投标人完全具备合格投标资格，需要再评定。</w:t>
      </w:r>
    </w:p>
    <w:p w14:paraId="4EB5300A">
      <w:pPr>
        <w:autoSpaceDE w:val="0"/>
        <w:autoSpaceDN w:val="0"/>
        <w:spacing w:line="360" w:lineRule="auto"/>
        <w:ind w:firstLine="525" w:firstLineChars="2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投标人提交的所有书面材料必须真实、准确、完整，如有隐瞒，其投标文件作废标处理。</w:t>
      </w:r>
    </w:p>
    <w:p w14:paraId="1800C08F">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23" w:name="_Toc152042311"/>
      <w:bookmarkStart w:id="124" w:name="_Toc296602425"/>
      <w:bookmarkStart w:id="125" w:name="_Toc136173563"/>
      <w:bookmarkStart w:id="126" w:name="_Toc247085694"/>
      <w:bookmarkStart w:id="127" w:name="_Toc12433"/>
      <w:bookmarkStart w:id="128" w:name="_Toc246996923"/>
      <w:bookmarkStart w:id="129" w:name="_Toc179632552"/>
      <w:bookmarkStart w:id="130" w:name="_Toc144974503"/>
      <w:bookmarkStart w:id="131" w:name="_Toc246996180"/>
      <w:bookmarkStart w:id="132" w:name="_Toc152045535"/>
      <w:r>
        <w:rPr>
          <w:rFonts w:hint="eastAsia" w:ascii="宋体" w:hAnsi="宋体" w:eastAsia="宋体" w:cs="宋体"/>
          <w:b/>
          <w:bCs/>
          <w:color w:val="000000" w:themeColor="text1"/>
          <w:szCs w:val="24"/>
          <w14:textFill>
            <w14:solidFill>
              <w14:schemeClr w14:val="tx1"/>
            </w14:solidFill>
          </w14:textFill>
        </w:rPr>
        <w:t>1.5 费用承担</w:t>
      </w:r>
      <w:bookmarkEnd w:id="123"/>
      <w:bookmarkEnd w:id="124"/>
      <w:bookmarkEnd w:id="125"/>
      <w:bookmarkEnd w:id="126"/>
      <w:bookmarkEnd w:id="127"/>
      <w:bookmarkEnd w:id="128"/>
      <w:bookmarkEnd w:id="129"/>
      <w:bookmarkEnd w:id="130"/>
      <w:bookmarkEnd w:id="131"/>
      <w:bookmarkEnd w:id="132"/>
    </w:p>
    <w:p w14:paraId="6FE7E80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1.5.1投标人准备和参加投标活动发生的费用自理。</w:t>
      </w:r>
    </w:p>
    <w:p w14:paraId="2EBCD8E4">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33" w:name="_Toc179632553"/>
      <w:bookmarkStart w:id="134" w:name="_Toc152045536"/>
      <w:bookmarkStart w:id="135" w:name="_Toc296602426"/>
      <w:bookmarkStart w:id="136" w:name="_Toc152042312"/>
      <w:bookmarkStart w:id="137" w:name="_Toc26900"/>
      <w:bookmarkStart w:id="138" w:name="_Toc246996924"/>
      <w:bookmarkStart w:id="139" w:name="_Toc136173564"/>
      <w:bookmarkStart w:id="140" w:name="_Toc246996181"/>
      <w:bookmarkStart w:id="141" w:name="_Toc144974504"/>
      <w:bookmarkStart w:id="142" w:name="_Toc247085695"/>
      <w:r>
        <w:rPr>
          <w:rFonts w:hint="eastAsia" w:ascii="宋体" w:hAnsi="宋体" w:eastAsia="宋体" w:cs="宋体"/>
          <w:b/>
          <w:bCs/>
          <w:color w:val="000000" w:themeColor="text1"/>
          <w:szCs w:val="24"/>
          <w14:textFill>
            <w14:solidFill>
              <w14:schemeClr w14:val="tx1"/>
            </w14:solidFill>
          </w14:textFill>
        </w:rPr>
        <w:t>1.6 保密</w:t>
      </w:r>
      <w:bookmarkEnd w:id="133"/>
      <w:bookmarkEnd w:id="134"/>
      <w:bookmarkEnd w:id="135"/>
      <w:bookmarkEnd w:id="136"/>
      <w:bookmarkEnd w:id="137"/>
      <w:bookmarkEnd w:id="138"/>
      <w:bookmarkEnd w:id="139"/>
      <w:bookmarkEnd w:id="140"/>
      <w:bookmarkEnd w:id="141"/>
      <w:bookmarkEnd w:id="142"/>
    </w:p>
    <w:p w14:paraId="1DD96AF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参与招标投标活动的各方应对招标文件和投标文件中的商业和技术等秘密保密，违者应对由此造成的后果承担法律责任。</w:t>
      </w:r>
    </w:p>
    <w:p w14:paraId="38EA1C51">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43" w:name="_Toc144974505"/>
      <w:bookmarkStart w:id="144" w:name="_Toc296602427"/>
      <w:bookmarkStart w:id="145" w:name="_Toc136173565"/>
      <w:bookmarkStart w:id="146" w:name="_Toc246996925"/>
      <w:bookmarkStart w:id="147" w:name="_Toc152045537"/>
      <w:bookmarkStart w:id="148" w:name="_Toc179632554"/>
      <w:bookmarkStart w:id="149" w:name="_Toc18247"/>
      <w:bookmarkStart w:id="150" w:name="_Toc246996182"/>
      <w:bookmarkStart w:id="151" w:name="_Toc152042313"/>
      <w:bookmarkStart w:id="152" w:name="_Toc247085696"/>
      <w:r>
        <w:rPr>
          <w:rFonts w:hint="eastAsia" w:ascii="宋体" w:hAnsi="宋体" w:eastAsia="宋体" w:cs="宋体"/>
          <w:b/>
          <w:bCs/>
          <w:color w:val="000000" w:themeColor="text1"/>
          <w:szCs w:val="24"/>
          <w14:textFill>
            <w14:solidFill>
              <w14:schemeClr w14:val="tx1"/>
            </w14:solidFill>
          </w14:textFill>
        </w:rPr>
        <w:t>1.7 语言</w:t>
      </w:r>
      <w:bookmarkEnd w:id="143"/>
      <w:r>
        <w:rPr>
          <w:rFonts w:hint="eastAsia" w:ascii="宋体" w:hAnsi="宋体" w:eastAsia="宋体" w:cs="宋体"/>
          <w:b/>
          <w:bCs/>
          <w:color w:val="000000" w:themeColor="text1"/>
          <w:szCs w:val="24"/>
          <w14:textFill>
            <w14:solidFill>
              <w14:schemeClr w14:val="tx1"/>
            </w14:solidFill>
          </w14:textFill>
        </w:rPr>
        <w:t>文字</w:t>
      </w:r>
      <w:bookmarkEnd w:id="144"/>
      <w:bookmarkEnd w:id="145"/>
      <w:bookmarkEnd w:id="146"/>
      <w:bookmarkEnd w:id="147"/>
      <w:bookmarkEnd w:id="148"/>
      <w:bookmarkEnd w:id="149"/>
      <w:bookmarkEnd w:id="150"/>
      <w:bookmarkEnd w:id="151"/>
      <w:bookmarkEnd w:id="152"/>
    </w:p>
    <w:p w14:paraId="084D0FF1">
      <w:pPr>
        <w:spacing w:line="360" w:lineRule="auto"/>
        <w:jc w:val="left"/>
        <w:rPr>
          <w:rFonts w:hint="eastAsia" w:ascii="宋体" w:hAnsi="宋体" w:eastAsia="宋体" w:cs="宋体"/>
          <w:color w:val="000000" w:themeColor="text1"/>
          <w:szCs w:val="24"/>
          <w14:textFill>
            <w14:solidFill>
              <w14:schemeClr w14:val="tx1"/>
            </w14:solidFill>
          </w14:textFill>
        </w:rPr>
      </w:pPr>
      <w:bookmarkStart w:id="153" w:name="_Toc144974506"/>
      <w:bookmarkStart w:id="154" w:name="_Toc246996183"/>
      <w:bookmarkStart w:id="155" w:name="_Toc152045538"/>
      <w:bookmarkStart w:id="156" w:name="_Toc247085697"/>
      <w:bookmarkStart w:id="157" w:name="_Toc246996926"/>
      <w:bookmarkStart w:id="158" w:name="_Toc152042314"/>
      <w:bookmarkStart w:id="159" w:name="_Toc179632555"/>
      <w:r>
        <w:rPr>
          <w:rFonts w:hint="eastAsia" w:ascii="宋体" w:hAnsi="宋体" w:eastAsia="宋体" w:cs="宋体"/>
          <w:color w:val="000000" w:themeColor="text1"/>
          <w:szCs w:val="24"/>
          <w14:textFill>
            <w14:solidFill>
              <w14:schemeClr w14:val="tx1"/>
            </w14:solidFill>
          </w14:textFill>
        </w:rPr>
        <w:t>招标投标文件使用的语言文字为中文。专用术语使用外文的，应附有中文注释。</w:t>
      </w:r>
    </w:p>
    <w:p w14:paraId="0F695317">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60" w:name="_Toc136173566"/>
      <w:bookmarkStart w:id="161" w:name="_Toc28783"/>
      <w:bookmarkStart w:id="162" w:name="_Toc296602428"/>
      <w:r>
        <w:rPr>
          <w:rFonts w:hint="eastAsia" w:ascii="宋体" w:hAnsi="宋体" w:eastAsia="宋体" w:cs="宋体"/>
          <w:b/>
          <w:bCs/>
          <w:color w:val="000000" w:themeColor="text1"/>
          <w:szCs w:val="24"/>
          <w14:textFill>
            <w14:solidFill>
              <w14:schemeClr w14:val="tx1"/>
            </w14:solidFill>
          </w14:textFill>
        </w:rPr>
        <w:t>1.8 计量单位</w:t>
      </w:r>
      <w:bookmarkEnd w:id="153"/>
      <w:bookmarkEnd w:id="154"/>
      <w:bookmarkEnd w:id="155"/>
      <w:bookmarkEnd w:id="156"/>
      <w:bookmarkEnd w:id="157"/>
      <w:bookmarkEnd w:id="158"/>
      <w:bookmarkEnd w:id="159"/>
      <w:bookmarkEnd w:id="160"/>
      <w:bookmarkEnd w:id="161"/>
      <w:bookmarkEnd w:id="162"/>
    </w:p>
    <w:p w14:paraId="56A5583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所有计量均采用中华人民共和国法定计量单位。</w:t>
      </w:r>
    </w:p>
    <w:p w14:paraId="20364565">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63" w:name="_Toc247527563"/>
      <w:bookmarkStart w:id="164" w:name="_Toc296602429"/>
      <w:bookmarkStart w:id="165" w:name="_Toc247592876"/>
      <w:bookmarkStart w:id="166" w:name="_Toc136173567"/>
      <w:bookmarkStart w:id="167" w:name="_Toc247513962"/>
      <w:bookmarkStart w:id="168" w:name="_Toc152042315"/>
      <w:bookmarkStart w:id="169" w:name="_Toc152045539"/>
      <w:bookmarkStart w:id="170" w:name="_Toc144974507"/>
      <w:bookmarkStart w:id="171" w:name="_Toc22751"/>
      <w:r>
        <w:rPr>
          <w:rFonts w:hint="eastAsia" w:ascii="宋体" w:hAnsi="宋体" w:eastAsia="宋体" w:cs="宋体"/>
          <w:b/>
          <w:bCs/>
          <w:color w:val="000000" w:themeColor="text1"/>
          <w:szCs w:val="24"/>
          <w14:textFill>
            <w14:solidFill>
              <w14:schemeClr w14:val="tx1"/>
            </w14:solidFill>
          </w14:textFill>
        </w:rPr>
        <w:t>1.9 踏勘现场</w:t>
      </w:r>
      <w:bookmarkEnd w:id="163"/>
      <w:bookmarkEnd w:id="164"/>
      <w:bookmarkEnd w:id="165"/>
      <w:bookmarkEnd w:id="166"/>
      <w:bookmarkEnd w:id="167"/>
      <w:bookmarkEnd w:id="168"/>
      <w:bookmarkEnd w:id="169"/>
      <w:bookmarkEnd w:id="170"/>
      <w:bookmarkEnd w:id="171"/>
    </w:p>
    <w:p w14:paraId="5D11007E">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1.9.1 投标人须知前附表规定组织踏勘现场的，招标人按投标人须知前附表规定的时间、地点组织投标人踏勘项目现场。 </w:t>
      </w:r>
    </w:p>
    <w:p w14:paraId="704CC29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1.9.2 投标人踏勘现场发生的费用自理。</w:t>
      </w:r>
    </w:p>
    <w:p w14:paraId="4BD19BAE">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1.9.3 除招标人的原因外，投标人自行负责在踏勘现场中所发生的人员伤亡和财产损失。</w:t>
      </w:r>
    </w:p>
    <w:p w14:paraId="434E3C0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1.9.4 招标人在踏勘现场中介绍的工程场地和相关的周边环境情况，供投标人在编制投标文件时参考，招标人不对投标人据此作出的判断和决策负责。</w:t>
      </w:r>
    </w:p>
    <w:p w14:paraId="2B629065">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72" w:name="_Toc247527564"/>
      <w:bookmarkStart w:id="173" w:name="_Toc9795"/>
      <w:bookmarkStart w:id="174" w:name="_Toc152042316"/>
      <w:bookmarkStart w:id="175" w:name="_Toc247513963"/>
      <w:bookmarkStart w:id="176" w:name="_Toc247592877"/>
      <w:bookmarkStart w:id="177" w:name="_Toc136173568"/>
      <w:bookmarkStart w:id="178" w:name="_Toc152045540"/>
      <w:bookmarkStart w:id="179" w:name="_Toc144974508"/>
      <w:bookmarkStart w:id="180" w:name="_Toc296602430"/>
      <w:r>
        <w:rPr>
          <w:rFonts w:hint="eastAsia" w:ascii="宋体" w:hAnsi="宋体" w:eastAsia="宋体" w:cs="宋体"/>
          <w:b/>
          <w:bCs/>
          <w:color w:val="000000" w:themeColor="text1"/>
          <w:szCs w:val="24"/>
          <w14:textFill>
            <w14:solidFill>
              <w14:schemeClr w14:val="tx1"/>
            </w14:solidFill>
          </w14:textFill>
        </w:rPr>
        <w:t>1.10 投标预备会</w:t>
      </w:r>
      <w:bookmarkEnd w:id="172"/>
      <w:bookmarkEnd w:id="173"/>
      <w:bookmarkEnd w:id="174"/>
      <w:bookmarkEnd w:id="175"/>
      <w:bookmarkEnd w:id="176"/>
      <w:bookmarkEnd w:id="177"/>
      <w:bookmarkEnd w:id="178"/>
      <w:bookmarkEnd w:id="179"/>
      <w:bookmarkEnd w:id="180"/>
    </w:p>
    <w:p w14:paraId="7F4A4C1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1.10.1 投标人须知前附表规定召开投标预备会的，招标人按投标人须知前附表规定的时间和地点召开投标预备会，澄清投标人提出的问题。</w:t>
      </w:r>
    </w:p>
    <w:p w14:paraId="60558FDA">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1.10.2 投标人应在投标人须知前附表规定的时间前，以书面形式将提出的问题送达招标人，以便招标人在会议期间澄清。</w:t>
      </w:r>
    </w:p>
    <w:p w14:paraId="4D7C905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1.10.3 投标预备会后，招标人在投标人须知前附表规定的时间内，将对投标人所提问题的澄清，以书面形式通知所有购买招标文件的投标人。该澄清内容为招标文件的组成部分。</w:t>
      </w:r>
    </w:p>
    <w:p w14:paraId="3EB9190A">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81" w:name="_Toc296602431"/>
      <w:bookmarkStart w:id="182" w:name="_Toc21167"/>
      <w:bookmarkStart w:id="183" w:name="_Toc136173569"/>
      <w:r>
        <w:rPr>
          <w:rFonts w:hint="eastAsia" w:ascii="宋体" w:hAnsi="宋体" w:eastAsia="宋体" w:cs="宋体"/>
          <w:b/>
          <w:bCs/>
          <w:color w:val="000000" w:themeColor="text1"/>
          <w:szCs w:val="24"/>
          <w14:textFill>
            <w14:solidFill>
              <w14:schemeClr w14:val="tx1"/>
            </w14:solidFill>
          </w14:textFill>
        </w:rPr>
        <w:t>1.11 偏离</w:t>
      </w:r>
      <w:bookmarkEnd w:id="181"/>
      <w:bookmarkEnd w:id="182"/>
      <w:bookmarkEnd w:id="183"/>
    </w:p>
    <w:p w14:paraId="5E027583">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投标人须知前附表允许投标文件偏离招标文件某些要求的，偏离应当符合招标文件规定的偏离范围和幅度。</w:t>
      </w:r>
    </w:p>
    <w:p w14:paraId="1F631D79">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84" w:name="_Toc136173570"/>
      <w:bookmarkStart w:id="185" w:name="_Toc21906"/>
      <w:r>
        <w:rPr>
          <w:rFonts w:hint="eastAsia" w:ascii="宋体" w:hAnsi="宋体" w:eastAsia="宋体" w:cs="宋体"/>
          <w:b/>
          <w:bCs/>
          <w:color w:val="000000" w:themeColor="text1"/>
          <w:szCs w:val="24"/>
          <w14:textFill>
            <w14:solidFill>
              <w14:schemeClr w14:val="tx1"/>
            </w14:solidFill>
          </w14:textFill>
        </w:rPr>
        <w:t>1.12知识产权声明</w:t>
      </w:r>
      <w:bookmarkEnd w:id="184"/>
      <w:bookmarkEnd w:id="185"/>
    </w:p>
    <w:p w14:paraId="386E809A">
      <w:pPr>
        <w:pStyle w:val="107"/>
        <w:ind w:firstLine="0" w:firstLineChars="0"/>
        <w:jc w:val="left"/>
        <w:rPr>
          <w:rFonts w:hint="eastAsia"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应保证招标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不拥有相应的知识产权，则须在报价中包括合法获取该知识产权的相关费用，并在响应文件中附有关证明文件。</w:t>
      </w:r>
    </w:p>
    <w:p w14:paraId="02485F07">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p>
    <w:p w14:paraId="2D72432C">
      <w:pPr>
        <w:pStyle w:val="5"/>
        <w:spacing w:before="240" w:beforeLines="100" w:after="240" w:afterLines="100" w:line="360" w:lineRule="auto"/>
        <w:rPr>
          <w:rFonts w:hint="eastAsia" w:ascii="宋体" w:hAnsi="宋体" w:cs="宋体"/>
          <w:color w:val="000000" w:themeColor="text1"/>
          <w:sz w:val="24"/>
          <w:szCs w:val="24"/>
          <w14:textFill>
            <w14:solidFill>
              <w14:schemeClr w14:val="tx1"/>
            </w14:solidFill>
          </w14:textFill>
        </w:rPr>
      </w:pPr>
      <w:bookmarkStart w:id="186" w:name="_Toc144974510"/>
      <w:bookmarkStart w:id="187" w:name="_Toc246996187"/>
      <w:bookmarkStart w:id="188" w:name="_Toc136173571"/>
      <w:bookmarkStart w:id="189" w:name="_Toc246996930"/>
      <w:bookmarkStart w:id="190" w:name="_Toc8870"/>
      <w:bookmarkStart w:id="191" w:name="_Toc152045542"/>
      <w:bookmarkStart w:id="192" w:name="_Toc152042318"/>
      <w:bookmarkStart w:id="193" w:name="_Toc247085701"/>
      <w:bookmarkStart w:id="194" w:name="_Toc296602432"/>
      <w:bookmarkStart w:id="195" w:name="_Toc179632560"/>
      <w:r>
        <w:rPr>
          <w:rFonts w:hint="eastAsia" w:ascii="宋体" w:hAnsi="宋体" w:cs="宋体"/>
          <w:color w:val="000000" w:themeColor="text1"/>
          <w:sz w:val="24"/>
          <w:szCs w:val="24"/>
          <w14:textFill>
            <w14:solidFill>
              <w14:schemeClr w14:val="tx1"/>
            </w14:solidFill>
          </w14:textFill>
        </w:rPr>
        <w:t>2. 招标文件</w:t>
      </w:r>
      <w:bookmarkEnd w:id="186"/>
      <w:bookmarkEnd w:id="187"/>
      <w:bookmarkEnd w:id="188"/>
      <w:bookmarkEnd w:id="189"/>
      <w:bookmarkEnd w:id="190"/>
      <w:bookmarkEnd w:id="191"/>
      <w:bookmarkEnd w:id="192"/>
      <w:bookmarkEnd w:id="193"/>
      <w:bookmarkEnd w:id="194"/>
      <w:bookmarkEnd w:id="195"/>
    </w:p>
    <w:p w14:paraId="1387A83C">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196" w:name="_Toc12192"/>
      <w:bookmarkStart w:id="197" w:name="_Toc136173572"/>
      <w:bookmarkStart w:id="198" w:name="_Toc152042322"/>
      <w:bookmarkStart w:id="199" w:name="_Toc246996191"/>
      <w:bookmarkStart w:id="200" w:name="_Toc179632564"/>
      <w:bookmarkStart w:id="201" w:name="_Toc296602436"/>
      <w:bookmarkStart w:id="202" w:name="_Toc246996934"/>
      <w:bookmarkStart w:id="203" w:name="_Toc247085705"/>
      <w:bookmarkStart w:id="204" w:name="_Toc152045546"/>
      <w:bookmarkStart w:id="205" w:name="_Toc144974514"/>
      <w:r>
        <w:rPr>
          <w:rFonts w:hint="eastAsia" w:ascii="宋体" w:hAnsi="宋体" w:eastAsia="宋体" w:cs="宋体"/>
          <w:b/>
          <w:bCs/>
          <w:color w:val="000000" w:themeColor="text1"/>
          <w:szCs w:val="24"/>
          <w14:textFill>
            <w14:solidFill>
              <w14:schemeClr w14:val="tx1"/>
            </w14:solidFill>
          </w14:textFill>
        </w:rPr>
        <w:t>2.1 招标文件的组成</w:t>
      </w:r>
      <w:bookmarkEnd w:id="196"/>
      <w:bookmarkEnd w:id="197"/>
    </w:p>
    <w:p w14:paraId="564DC795">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2.1.1</w:t>
      </w:r>
      <w:r>
        <w:rPr>
          <w:rFonts w:hint="eastAsia" w:ascii="宋体" w:hAnsi="宋体" w:eastAsia="宋体" w:cs="宋体"/>
          <w:color w:val="000000" w:themeColor="text1"/>
          <w:szCs w:val="24"/>
          <w:lang w:val="zh-CN"/>
          <w14:textFill>
            <w14:solidFill>
              <w14:schemeClr w14:val="tx1"/>
            </w14:solidFill>
          </w14:textFill>
        </w:rPr>
        <w:t>招标文件</w:t>
      </w:r>
      <w:r>
        <w:rPr>
          <w:rFonts w:hint="eastAsia" w:ascii="宋体" w:hAnsi="宋体" w:eastAsia="宋体" w:cs="宋体"/>
          <w:color w:val="000000" w:themeColor="text1"/>
          <w:szCs w:val="24"/>
          <w14:textFill>
            <w14:solidFill>
              <w14:schemeClr w14:val="tx1"/>
            </w14:solidFill>
          </w14:textFill>
        </w:rPr>
        <w:t>包括下列内容：</w:t>
      </w:r>
    </w:p>
    <w:p w14:paraId="00EE8B68">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第一章   投标邀请函</w:t>
      </w:r>
    </w:p>
    <w:p w14:paraId="5A66B3F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第二章   投标须知</w:t>
      </w:r>
    </w:p>
    <w:p w14:paraId="311260B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第三章   评标办法</w:t>
      </w:r>
    </w:p>
    <w:p w14:paraId="291475CA">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四</w:t>
      </w:r>
      <w:r>
        <w:rPr>
          <w:rFonts w:hint="eastAsia" w:ascii="宋体" w:hAnsi="宋体" w:eastAsia="宋体" w:cs="宋体"/>
          <w:color w:val="000000" w:themeColor="text1"/>
          <w:szCs w:val="24"/>
          <w:lang w:val="zh-CN"/>
          <w14:textFill>
            <w14:solidFill>
              <w14:schemeClr w14:val="tx1"/>
            </w14:solidFill>
          </w14:textFill>
        </w:rPr>
        <w:t>章   合同</w:t>
      </w:r>
      <w:r>
        <w:rPr>
          <w:rFonts w:hint="eastAsia" w:ascii="宋体" w:hAnsi="宋体" w:eastAsia="宋体" w:cs="宋体"/>
          <w:color w:val="000000" w:themeColor="text1"/>
          <w:szCs w:val="24"/>
          <w14:textFill>
            <w14:solidFill>
              <w14:schemeClr w14:val="tx1"/>
            </w14:solidFill>
          </w14:textFill>
        </w:rPr>
        <w:t>文本</w:t>
      </w:r>
    </w:p>
    <w:p w14:paraId="10F79A28">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除</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条</w:t>
      </w:r>
      <w:r>
        <w:rPr>
          <w:rFonts w:hint="eastAsia" w:ascii="宋体" w:hAnsi="宋体" w:eastAsia="宋体" w:cs="宋体"/>
          <w:color w:val="000000" w:themeColor="text1"/>
          <w:szCs w:val="24"/>
          <w:lang w:val="zh-CN"/>
          <w14:textFill>
            <w14:solidFill>
              <w14:schemeClr w14:val="tx1"/>
            </w14:solidFill>
          </w14:textFill>
        </w:rPr>
        <w:t>内容外，招标人在提交投标文件截止时间前，以书面形式发出的对招标文件的澄清或修改内容，均为招标文件的组成部分，对招标人和投标人起约束作用。</w:t>
      </w:r>
    </w:p>
    <w:p w14:paraId="05E1A6DC">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.2</w:t>
      </w:r>
      <w:r>
        <w:rPr>
          <w:rFonts w:hint="eastAsia" w:ascii="宋体" w:hAnsi="宋体" w:eastAsia="宋体" w:cs="宋体"/>
          <w:color w:val="000000" w:themeColor="text1"/>
          <w:szCs w:val="24"/>
          <w:lang w:val="zh-CN"/>
          <w14:textFill>
            <w14:solidFill>
              <w14:schemeClr w14:val="tx1"/>
            </w14:solidFill>
          </w14:textFill>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3CCAED7C">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投标人对招标文件个别内容有异议时，需在投标文件差异表中明确并声明。凡未在差异表中明确的，一律视为认同招标文件。招标文件是招、投标人双方签订合同的重要依据。</w:t>
      </w:r>
    </w:p>
    <w:p w14:paraId="5005844A">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凡获得招标文件者，无论投标与否，均应对招标文件保密。</w:t>
      </w:r>
    </w:p>
    <w:p w14:paraId="7EB0E757">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06" w:name="_Toc3012"/>
      <w:bookmarkStart w:id="207" w:name="_Toc136173573"/>
      <w:r>
        <w:rPr>
          <w:rFonts w:hint="eastAsia" w:ascii="宋体" w:hAnsi="宋体" w:eastAsia="宋体" w:cs="宋体"/>
          <w:b/>
          <w:bCs/>
          <w:color w:val="000000" w:themeColor="text1"/>
          <w:szCs w:val="24"/>
          <w14:textFill>
            <w14:solidFill>
              <w14:schemeClr w14:val="tx1"/>
            </w14:solidFill>
          </w14:textFill>
        </w:rPr>
        <w:t>2.2招标文件的解释与澄清</w:t>
      </w:r>
      <w:bookmarkEnd w:id="206"/>
      <w:bookmarkEnd w:id="207"/>
    </w:p>
    <w:p w14:paraId="63A7FA5A">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2.2.1投标人在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招标文件后，若有问题需要澄清，应在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w:t>
      </w:r>
      <w:r>
        <w:rPr>
          <w:rFonts w:hint="eastAsia" w:ascii="宋体" w:hAnsi="宋体" w:eastAsia="宋体" w:cs="宋体"/>
          <w:color w:val="000000" w:themeColor="text1"/>
          <w:szCs w:val="24"/>
          <w14:textFill>
            <w14:solidFill>
              <w14:schemeClr w14:val="tx1"/>
            </w14:solidFill>
          </w14:textFill>
        </w:rPr>
        <w:t>2日内</w:t>
      </w:r>
      <w:r>
        <w:rPr>
          <w:rFonts w:hint="eastAsia" w:ascii="宋体" w:hAnsi="宋体" w:eastAsia="宋体" w:cs="宋体"/>
          <w:color w:val="000000" w:themeColor="text1"/>
          <w:szCs w:val="24"/>
          <w:lang w:val="zh-CN"/>
          <w14:textFill>
            <w14:solidFill>
              <w14:schemeClr w14:val="tx1"/>
            </w14:solidFill>
          </w14:textFill>
        </w:rPr>
        <w:t>以书面形式（包括书面文字、电邮等，下同）向招标人提出，并加盖公章。</w:t>
      </w:r>
    </w:p>
    <w:p w14:paraId="3E3C3160">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2.2.2招标人将在接到该请求澄清函</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263F122F">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08" w:name="_Toc136173574"/>
      <w:bookmarkStart w:id="209" w:name="_Toc3853"/>
      <w:r>
        <w:rPr>
          <w:rFonts w:hint="eastAsia" w:ascii="宋体" w:hAnsi="宋体" w:eastAsia="宋体" w:cs="宋体"/>
          <w:b/>
          <w:bCs/>
          <w:color w:val="000000" w:themeColor="text1"/>
          <w:szCs w:val="24"/>
          <w14:textFill>
            <w14:solidFill>
              <w14:schemeClr w14:val="tx1"/>
            </w14:solidFill>
          </w14:textFill>
        </w:rPr>
        <w:t>2.3招标文件的修改</w:t>
      </w:r>
      <w:bookmarkEnd w:id="208"/>
      <w:bookmarkEnd w:id="209"/>
    </w:p>
    <w:p w14:paraId="5CA95489">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至投标截止日前，招标人有权以补充通知的方式修改招标文件。这种修改可能是招标人主动提出的，也可能是为了解答投标人要求澄清的问题而作出的</w:t>
      </w:r>
      <w:r>
        <w:rPr>
          <w:rFonts w:hint="eastAsia" w:ascii="宋体" w:hAnsi="宋体" w:eastAsia="宋体" w:cs="宋体"/>
          <w:color w:val="000000" w:themeColor="text1"/>
          <w:szCs w:val="24"/>
          <w14:textFill>
            <w14:solidFill>
              <w14:schemeClr w14:val="tx1"/>
            </w14:solidFill>
          </w14:textFill>
        </w:rPr>
        <w:t>；</w:t>
      </w:r>
    </w:p>
    <w:p w14:paraId="671D063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通知将以书面形式发给所有获得招标文件的投标人。补充通知作为招标文件的组成部分，对投标人起约束作用。投标人收到补充通知书后</w:t>
      </w:r>
      <w:r>
        <w:rPr>
          <w:rFonts w:hint="eastAsia" w:ascii="宋体" w:hAnsi="宋体" w:eastAsia="宋体" w:cs="宋体"/>
          <w:color w:val="000000" w:themeColor="text1"/>
          <w:szCs w:val="24"/>
          <w14:textFill>
            <w14:solidFill>
              <w14:schemeClr w14:val="tx1"/>
            </w14:solidFill>
          </w14:textFill>
        </w:rPr>
        <w:t>24小时以内</w:t>
      </w:r>
      <w:r>
        <w:rPr>
          <w:rFonts w:hint="eastAsia" w:ascii="宋体" w:hAnsi="宋体" w:eastAsia="宋体" w:cs="宋体"/>
          <w:color w:val="000000" w:themeColor="text1"/>
          <w:szCs w:val="24"/>
          <w:lang w:val="zh-CN"/>
          <w14:textFill>
            <w14:solidFill>
              <w14:schemeClr w14:val="tx1"/>
            </w14:solidFill>
          </w14:textFill>
        </w:rPr>
        <w:t>书面递交或电子邮件形式通知招标人，确认已收到补充通知书</w:t>
      </w:r>
      <w:r>
        <w:rPr>
          <w:rFonts w:hint="eastAsia" w:ascii="宋体" w:hAnsi="宋体" w:eastAsia="宋体" w:cs="宋体"/>
          <w:color w:val="000000" w:themeColor="text1"/>
          <w:szCs w:val="24"/>
          <w14:textFill>
            <w14:solidFill>
              <w14:schemeClr w14:val="tx1"/>
            </w14:solidFill>
          </w14:textFill>
        </w:rPr>
        <w:t>；</w:t>
      </w:r>
    </w:p>
    <w:p w14:paraId="5F83CB16">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2.3.3 </w:t>
      </w:r>
      <w:r>
        <w:rPr>
          <w:rFonts w:hint="eastAsia" w:ascii="宋体" w:hAnsi="宋体" w:eastAsia="宋体" w:cs="宋体"/>
          <w:color w:val="000000" w:themeColor="text1"/>
          <w:szCs w:val="24"/>
          <w:lang w:val="zh-CN"/>
          <w14:textFill>
            <w14:solidFill>
              <w14:schemeClr w14:val="tx1"/>
            </w14:solidFill>
          </w14:textFill>
        </w:rPr>
        <w:t>招标文件的澄清、修改、补充等内容均以书面形式明确的内容为准。当招标文件、招标文件的澄清、修改、补充等在同一内容的表述上不一致时，以最后发出的书面文件为准。</w:t>
      </w:r>
    </w:p>
    <w:p w14:paraId="5E12EECC">
      <w:pPr>
        <w:pStyle w:val="3"/>
        <w:spacing w:before="0" w:after="0"/>
        <w:rPr>
          <w:rFonts w:hint="eastAsia"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2.3.4 为使投标人有充分时间对招标文件的修改部分进行研究，招标人可适当延长投标截止日期，并以书面形式通知所有购买标书的投标人。</w:t>
      </w:r>
    </w:p>
    <w:p w14:paraId="175FDFDA">
      <w:pPr>
        <w:pStyle w:val="5"/>
        <w:spacing w:before="240" w:beforeLines="100" w:after="240" w:afterLines="100" w:line="360" w:lineRule="auto"/>
        <w:rPr>
          <w:rFonts w:hint="eastAsia" w:ascii="宋体" w:hAnsi="宋体" w:cs="宋体"/>
          <w:color w:val="000000" w:themeColor="text1"/>
          <w:sz w:val="24"/>
          <w:szCs w:val="24"/>
          <w14:textFill>
            <w14:solidFill>
              <w14:schemeClr w14:val="tx1"/>
            </w14:solidFill>
          </w14:textFill>
        </w:rPr>
      </w:pPr>
      <w:bookmarkStart w:id="210" w:name="_Toc6980"/>
      <w:bookmarkStart w:id="211" w:name="_Toc136173575"/>
      <w:r>
        <w:rPr>
          <w:rFonts w:hint="eastAsia" w:ascii="宋体" w:hAnsi="宋体" w:cs="宋体"/>
          <w:color w:val="000000" w:themeColor="text1"/>
          <w:sz w:val="24"/>
          <w:szCs w:val="24"/>
          <w14:textFill>
            <w14:solidFill>
              <w14:schemeClr w14:val="tx1"/>
            </w14:solidFill>
          </w14:textFill>
        </w:rPr>
        <w:t>3. 投标文件</w:t>
      </w:r>
      <w:bookmarkEnd w:id="198"/>
      <w:bookmarkEnd w:id="199"/>
      <w:bookmarkEnd w:id="200"/>
      <w:bookmarkEnd w:id="201"/>
      <w:bookmarkEnd w:id="202"/>
      <w:bookmarkEnd w:id="203"/>
      <w:bookmarkEnd w:id="204"/>
      <w:bookmarkEnd w:id="205"/>
      <w:bookmarkEnd w:id="210"/>
      <w:bookmarkEnd w:id="211"/>
    </w:p>
    <w:p w14:paraId="541B7C92">
      <w:pPr>
        <w:pStyle w:val="6"/>
        <w:spacing w:before="0" w:after="0" w:line="360" w:lineRule="auto"/>
        <w:rPr>
          <w:rFonts w:hint="eastAsia" w:ascii="宋体" w:hAnsi="宋体" w:eastAsia="宋体" w:cs="宋体"/>
          <w:bCs/>
          <w:color w:val="000000" w:themeColor="text1"/>
          <w:sz w:val="24"/>
          <w:szCs w:val="24"/>
          <w:lang w:val="zh-CN"/>
          <w14:textFill>
            <w14:solidFill>
              <w14:schemeClr w14:val="tx1"/>
            </w14:solidFill>
          </w14:textFill>
        </w:rPr>
      </w:pPr>
      <w:bookmarkStart w:id="212" w:name="_Toc136173576"/>
      <w:bookmarkStart w:id="213" w:name="_Toc23777"/>
      <w:r>
        <w:rPr>
          <w:rFonts w:hint="eastAsia" w:ascii="宋体" w:hAnsi="宋体" w:eastAsia="宋体" w:cs="宋体"/>
          <w:bCs/>
          <w:color w:val="000000" w:themeColor="text1"/>
          <w:sz w:val="24"/>
          <w:szCs w:val="24"/>
          <w14:textFill>
            <w14:solidFill>
              <w14:schemeClr w14:val="tx1"/>
            </w14:solidFill>
          </w14:textFill>
        </w:rPr>
        <w:t>3.1投标文件的编制要求</w:t>
      </w:r>
      <w:bookmarkEnd w:id="212"/>
      <w:bookmarkEnd w:id="213"/>
    </w:p>
    <w:p w14:paraId="3D86C6BB">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3.1.1 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7682B7AA">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14" w:name="_Toc11252"/>
      <w:bookmarkStart w:id="215" w:name="_Toc136173577"/>
      <w:r>
        <w:rPr>
          <w:rFonts w:hint="eastAsia" w:ascii="宋体" w:hAnsi="宋体" w:eastAsia="宋体" w:cs="宋体"/>
          <w:bCs/>
          <w:color w:val="000000" w:themeColor="text1"/>
          <w:sz w:val="24"/>
          <w:szCs w:val="24"/>
          <w14:textFill>
            <w14:solidFill>
              <w14:schemeClr w14:val="tx1"/>
            </w14:solidFill>
          </w14:textFill>
        </w:rPr>
        <w:t>3.2 投标文件的语言及度量衡单位</w:t>
      </w:r>
      <w:bookmarkEnd w:id="214"/>
      <w:bookmarkEnd w:id="215"/>
    </w:p>
    <w:p w14:paraId="0FCCFCC2">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3.2.1 投标文件和与投标有关的所有文件均应使用中文。</w:t>
      </w:r>
    </w:p>
    <w:p w14:paraId="460945AA">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3.2.2 除工程规范另有规定外，投标文件使用的度量衡单位，均采用中华人民共和国法定计量单位。</w:t>
      </w:r>
    </w:p>
    <w:p w14:paraId="6CC26485">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16" w:name="_Toc28396"/>
      <w:bookmarkStart w:id="217" w:name="_Toc136173578"/>
      <w:r>
        <w:rPr>
          <w:rFonts w:hint="eastAsia" w:ascii="宋体" w:hAnsi="宋体" w:eastAsia="宋体" w:cs="宋体"/>
          <w:bCs/>
          <w:color w:val="000000" w:themeColor="text1"/>
          <w:sz w:val="24"/>
          <w:szCs w:val="24"/>
          <w14:textFill>
            <w14:solidFill>
              <w14:schemeClr w14:val="tx1"/>
            </w14:solidFill>
          </w14:textFill>
        </w:rPr>
        <w:t>3.3投标文件的组成</w:t>
      </w:r>
      <w:bookmarkEnd w:id="216"/>
      <w:bookmarkEnd w:id="217"/>
    </w:p>
    <w:p w14:paraId="78973361">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3.3.1 </w:t>
      </w:r>
      <w:r>
        <w:rPr>
          <w:rFonts w:hint="eastAsia" w:ascii="宋体" w:hAnsi="宋体" w:eastAsia="宋体" w:cs="宋体"/>
          <w:color w:val="000000" w:themeColor="text1"/>
          <w:szCs w:val="24"/>
          <w:lang w:val="zh-CN"/>
          <w14:textFill>
            <w14:solidFill>
              <w14:schemeClr w14:val="tx1"/>
            </w14:solidFill>
          </w14:textFill>
        </w:rPr>
        <w:t>投标文件包括：</w:t>
      </w:r>
      <w:r>
        <w:rPr>
          <w:rFonts w:hint="eastAsia" w:ascii="宋体" w:hAnsi="宋体" w:eastAsia="宋体" w:cs="宋体"/>
          <w:color w:val="000000" w:themeColor="text1"/>
          <w:szCs w:val="24"/>
          <w14:textFill>
            <w14:solidFill>
              <w14:schemeClr w14:val="tx1"/>
            </w14:solidFill>
          </w14:textFill>
        </w:rPr>
        <w:t>投标函及投标报价表、商务投标文件、技术投标文件（三部分投标文件单独密封）、电子版文档（加密发送）。</w:t>
      </w:r>
    </w:p>
    <w:p w14:paraId="5B9B1430">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3.3.2投标函及投标报价表包括的内容见《第五章-投标函》。</w:t>
      </w:r>
    </w:p>
    <w:p w14:paraId="67624A54">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3 技术投标文件包括的内容见《第五章-技术投标文件》。</w:t>
      </w:r>
    </w:p>
    <w:p w14:paraId="40CA7100">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商务投标文件</w:t>
      </w:r>
      <w:r>
        <w:rPr>
          <w:rFonts w:hint="eastAsia" w:ascii="宋体" w:hAnsi="宋体" w:eastAsia="宋体" w:cs="宋体"/>
          <w:color w:val="000000" w:themeColor="text1"/>
          <w:szCs w:val="24"/>
          <w14:textFill>
            <w14:solidFill>
              <w14:schemeClr w14:val="tx1"/>
            </w14:solidFill>
          </w14:textFill>
        </w:rPr>
        <w:t>包括</w:t>
      </w:r>
      <w:r>
        <w:rPr>
          <w:rFonts w:hint="eastAsia" w:ascii="宋体" w:hAnsi="宋体" w:eastAsia="宋体" w:cs="宋体"/>
          <w:color w:val="000000" w:themeColor="text1"/>
          <w:szCs w:val="24"/>
          <w:lang w:val="zh-CN"/>
          <w14:textFill>
            <w14:solidFill>
              <w14:schemeClr w14:val="tx1"/>
            </w14:solidFill>
          </w14:textFill>
        </w:rPr>
        <w:t>的内容</w:t>
      </w:r>
      <w:r>
        <w:rPr>
          <w:rFonts w:hint="eastAsia" w:ascii="宋体" w:hAnsi="宋体" w:eastAsia="宋体" w:cs="宋体"/>
          <w:color w:val="000000" w:themeColor="text1"/>
          <w:szCs w:val="24"/>
          <w14:textFill>
            <w14:solidFill>
              <w14:schemeClr w14:val="tx1"/>
            </w14:solidFill>
          </w14:textFill>
        </w:rPr>
        <w:t>见《第五章-商务资格投标文件》。</w:t>
      </w:r>
    </w:p>
    <w:p w14:paraId="315DE9D6">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18" w:name="_Toc136173579"/>
      <w:bookmarkStart w:id="219" w:name="_Toc4510"/>
      <w:r>
        <w:rPr>
          <w:rFonts w:hint="eastAsia" w:ascii="宋体" w:hAnsi="宋体" w:eastAsia="宋体" w:cs="宋体"/>
          <w:bCs/>
          <w:color w:val="000000" w:themeColor="text1"/>
          <w:sz w:val="24"/>
          <w:szCs w:val="24"/>
          <w14:textFill>
            <w14:solidFill>
              <w14:schemeClr w14:val="tx1"/>
            </w14:solidFill>
          </w14:textFill>
        </w:rPr>
        <w:t>3.4 投标文件格式</w:t>
      </w:r>
      <w:bookmarkEnd w:id="218"/>
      <w:bookmarkEnd w:id="219"/>
    </w:p>
    <w:p w14:paraId="7AE0929A">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投标人必须使用</w:t>
      </w:r>
      <w:r>
        <w:rPr>
          <w:rFonts w:hint="eastAsia" w:ascii="宋体" w:hAnsi="宋体" w:eastAsia="宋体" w:cs="宋体"/>
          <w:color w:val="000000" w:themeColor="text1"/>
          <w:szCs w:val="24"/>
          <w14:textFill>
            <w14:solidFill>
              <w14:schemeClr w14:val="tx1"/>
            </w14:solidFill>
          </w14:textFill>
        </w:rPr>
        <w:t>本</w:t>
      </w:r>
      <w:r>
        <w:rPr>
          <w:rFonts w:hint="eastAsia" w:ascii="宋体" w:hAnsi="宋体" w:eastAsia="宋体" w:cs="宋体"/>
          <w:color w:val="000000" w:themeColor="text1"/>
          <w:szCs w:val="24"/>
          <w:lang w:val="zh-CN"/>
          <w14:textFill>
            <w14:solidFill>
              <w14:schemeClr w14:val="tx1"/>
            </w14:solidFill>
          </w14:textFill>
        </w:rPr>
        <w:t>招标文件提供的投标书格式，但表格可以按同样格式扩展。</w:t>
      </w:r>
    </w:p>
    <w:p w14:paraId="14651250">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20" w:name="_Toc12835"/>
      <w:bookmarkStart w:id="221" w:name="_Toc136173580"/>
      <w:r>
        <w:rPr>
          <w:rFonts w:hint="eastAsia" w:ascii="宋体" w:hAnsi="宋体" w:eastAsia="宋体" w:cs="宋体"/>
          <w:bCs/>
          <w:color w:val="000000" w:themeColor="text1"/>
          <w:sz w:val="24"/>
          <w:szCs w:val="24"/>
          <w14:textFill>
            <w14:solidFill>
              <w14:schemeClr w14:val="tx1"/>
            </w14:solidFill>
          </w14:textFill>
        </w:rPr>
        <w:t>3.5.投标货币</w:t>
      </w:r>
      <w:bookmarkEnd w:id="220"/>
      <w:bookmarkEnd w:id="221"/>
    </w:p>
    <w:p w14:paraId="047C3DFD">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3.5.1 本工程投标报价采用的币种为人民币。</w:t>
      </w:r>
    </w:p>
    <w:p w14:paraId="2D62CBDB">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22" w:name="_Toc5233"/>
      <w:bookmarkStart w:id="223" w:name="_Toc136173581"/>
      <w:r>
        <w:rPr>
          <w:rFonts w:hint="eastAsia" w:ascii="宋体" w:hAnsi="宋体" w:eastAsia="宋体" w:cs="宋体"/>
          <w:bCs/>
          <w:color w:val="000000" w:themeColor="text1"/>
          <w:sz w:val="24"/>
          <w:szCs w:val="24"/>
          <w14:textFill>
            <w14:solidFill>
              <w14:schemeClr w14:val="tx1"/>
            </w14:solidFill>
          </w14:textFill>
        </w:rPr>
        <w:t>3.6.投标有效期</w:t>
      </w:r>
      <w:bookmarkEnd w:id="222"/>
      <w:bookmarkEnd w:id="223"/>
    </w:p>
    <w:p w14:paraId="42336C32">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自</w:t>
      </w:r>
      <w:r>
        <w:rPr>
          <w:rFonts w:hint="eastAsia" w:ascii="宋体" w:hAnsi="宋体" w:eastAsia="宋体" w:cs="宋体"/>
          <w:color w:val="000000" w:themeColor="text1"/>
          <w:szCs w:val="24"/>
          <w14:textFill>
            <w14:solidFill>
              <w14:schemeClr w14:val="tx1"/>
            </w14:solidFill>
          </w14:textFill>
        </w:rPr>
        <w:t>本招标文件</w:t>
      </w:r>
      <w:r>
        <w:rPr>
          <w:rFonts w:hint="eastAsia" w:ascii="宋体" w:hAnsi="宋体" w:eastAsia="宋体" w:cs="宋体"/>
          <w:color w:val="000000" w:themeColor="text1"/>
          <w:szCs w:val="24"/>
          <w:lang w:val="zh-CN"/>
          <w14:textFill>
            <w14:solidFill>
              <w14:schemeClr w14:val="tx1"/>
            </w14:solidFill>
          </w14:textFill>
        </w:rPr>
        <w:t>规定的投标截止日期算起，投标书有效期为 120 公历日。</w:t>
      </w:r>
    </w:p>
    <w:p w14:paraId="49CA999F">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7C745255">
      <w:pPr>
        <w:spacing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3.7.投标保证金</w:t>
      </w:r>
    </w:p>
    <w:p w14:paraId="15878476">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投标保证金：无。</w:t>
      </w:r>
    </w:p>
    <w:p w14:paraId="0AF166D5">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3.8投标人的替代方案：</w:t>
      </w:r>
      <w:r>
        <w:rPr>
          <w:rFonts w:hint="eastAsia" w:ascii="宋体" w:hAnsi="宋体" w:eastAsia="宋体" w:cs="宋体"/>
          <w:color w:val="000000" w:themeColor="text1"/>
          <w:szCs w:val="24"/>
          <w:lang w:val="zh-CN"/>
          <w14:textFill>
            <w14:solidFill>
              <w14:schemeClr w14:val="tx1"/>
            </w14:solidFill>
          </w14:textFill>
        </w:rPr>
        <w:t>不允许投标人提交替代方案。</w:t>
      </w:r>
    </w:p>
    <w:p w14:paraId="6A02A330">
      <w:pPr>
        <w:spacing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3.9.投标文件的编制和签署</w:t>
      </w:r>
    </w:p>
    <w:p w14:paraId="023B4FEB">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投标人按</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规定，编制投标文件“正本”和“副本”及“电子</w:t>
      </w:r>
      <w:r>
        <w:rPr>
          <w:rFonts w:hint="eastAsia" w:ascii="宋体" w:hAnsi="宋体" w:eastAsia="宋体" w:cs="宋体"/>
          <w:color w:val="000000" w:themeColor="text1"/>
          <w:szCs w:val="24"/>
          <w14:textFill>
            <w14:solidFill>
              <w14:schemeClr w14:val="tx1"/>
            </w14:solidFill>
          </w14:textFill>
        </w:rPr>
        <w:t>文档”</w:t>
      </w:r>
      <w:r>
        <w:rPr>
          <w:rFonts w:hint="eastAsia" w:ascii="宋体" w:hAnsi="宋体" w:eastAsia="宋体" w:cs="宋体"/>
          <w:color w:val="000000" w:themeColor="text1"/>
          <w:szCs w:val="24"/>
          <w:lang w:val="zh-CN"/>
          <w14:textFill>
            <w14:solidFill>
              <w14:schemeClr w14:val="tx1"/>
            </w14:solidFill>
          </w14:textFill>
        </w:rPr>
        <w:t>，并在封面上明确标明“正本”和“副本”字样。投标文件正本和副本如有不一致之处，以正本为准。</w:t>
      </w:r>
      <w:r>
        <w:rPr>
          <w:rFonts w:hint="eastAsia" w:ascii="宋体" w:hAnsi="宋体" w:eastAsia="宋体" w:cs="宋体"/>
          <w:color w:val="000000" w:themeColor="text1"/>
          <w:szCs w:val="24"/>
          <w14:textFill>
            <w14:solidFill>
              <w14:schemeClr w14:val="tx1"/>
            </w14:solidFill>
          </w14:textFill>
        </w:rPr>
        <w:t>电子文档与纸质文本不一致时，以纸质文本为准。</w:t>
      </w:r>
    </w:p>
    <w:p w14:paraId="387597EE">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投标文件的正本和副本均应使用不能擦去的墨水打印或书写，封面加盖法人单位公章，并由法定代表人或被授权委托人签署授权书</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以书面委托的方式出具，附在投标书中。正本每页应由法定代表人或被授权委托人小签，副本可以是正本的复印件。</w:t>
      </w:r>
    </w:p>
    <w:p w14:paraId="125249BA">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全套投标文件应无涂改和行间插字，除非这些删改是根据招标人的指示进行的，或者是投标人造成的必须修改的错误。在后一种情况下，修改处应由投标文件签署人小签。</w:t>
      </w:r>
    </w:p>
    <w:p w14:paraId="79E31AE4">
      <w:pPr>
        <w:kinsoku w:val="0"/>
        <w:overflowPunct w:val="0"/>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投标文件的投标函部分</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商务部分</w:t>
      </w:r>
      <w:r>
        <w:rPr>
          <w:rFonts w:hint="eastAsia" w:ascii="宋体" w:hAnsi="宋体" w:eastAsia="宋体" w:cs="宋体"/>
          <w:color w:val="000000" w:themeColor="text1"/>
          <w:szCs w:val="24"/>
          <w14:textFill>
            <w14:solidFill>
              <w14:schemeClr w14:val="tx1"/>
            </w14:solidFill>
          </w14:textFill>
        </w:rPr>
        <w:t>、技术部分别</w:t>
      </w:r>
      <w:r>
        <w:rPr>
          <w:rFonts w:hint="eastAsia" w:ascii="宋体" w:hAnsi="宋体" w:eastAsia="宋体" w:cs="宋体"/>
          <w:color w:val="000000" w:themeColor="text1"/>
          <w:szCs w:val="24"/>
          <w:lang w:val="zh-CN"/>
          <w14:textFill>
            <w14:solidFill>
              <w14:schemeClr w14:val="tx1"/>
            </w14:solidFill>
          </w14:textFill>
        </w:rPr>
        <w:t>装订成册。</w:t>
      </w:r>
      <w:bookmarkStart w:id="224" w:name="_Toc9457671"/>
      <w:bookmarkStart w:id="225" w:name="_Toc78948804"/>
      <w:bookmarkStart w:id="226" w:name="_Toc277669821"/>
      <w:bookmarkStart w:id="227" w:name="_Toc9457673"/>
      <w:bookmarkStart w:id="228" w:name="_Toc78948806"/>
    </w:p>
    <w:p w14:paraId="188B911F">
      <w:pPr>
        <w:kinsoku w:val="0"/>
        <w:overflowPunct w:val="0"/>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3.9.5 投标份数：纸质版正本1份、副本1份。</w:t>
      </w:r>
    </w:p>
    <w:bookmarkEnd w:id="224"/>
    <w:bookmarkEnd w:id="225"/>
    <w:bookmarkEnd w:id="226"/>
    <w:p w14:paraId="3D4B0224">
      <w:pPr>
        <w:pStyle w:val="5"/>
        <w:spacing w:before="240" w:beforeLines="100" w:after="240" w:afterLines="100" w:line="360" w:lineRule="auto"/>
        <w:rPr>
          <w:rFonts w:hint="eastAsia" w:ascii="宋体" w:hAnsi="宋体" w:cs="宋体"/>
          <w:color w:val="000000" w:themeColor="text1"/>
          <w:sz w:val="24"/>
          <w:szCs w:val="24"/>
          <w14:textFill>
            <w14:solidFill>
              <w14:schemeClr w14:val="tx1"/>
            </w14:solidFill>
          </w14:textFill>
        </w:rPr>
      </w:pPr>
      <w:bookmarkStart w:id="229" w:name="_Toc136173582"/>
      <w:bookmarkStart w:id="230" w:name="_Toc18656"/>
      <w:r>
        <w:rPr>
          <w:rFonts w:hint="eastAsia" w:ascii="宋体" w:hAnsi="宋体" w:cs="宋体"/>
          <w:color w:val="000000" w:themeColor="text1"/>
          <w:sz w:val="24"/>
          <w:szCs w:val="24"/>
          <w14:textFill>
            <w14:solidFill>
              <w14:schemeClr w14:val="tx1"/>
            </w14:solidFill>
          </w14:textFill>
        </w:rPr>
        <w:t>4.投标文件的提交</w:t>
      </w:r>
      <w:bookmarkEnd w:id="229"/>
      <w:bookmarkEnd w:id="230"/>
    </w:p>
    <w:p w14:paraId="019DFB8B">
      <w:pPr>
        <w:spacing w:line="360" w:lineRule="auto"/>
        <w:outlineLvl w:val="2"/>
        <w:rPr>
          <w:rFonts w:hint="eastAsia" w:ascii="宋体" w:hAnsi="宋体" w:eastAsia="宋体" w:cs="宋体"/>
          <w:b/>
          <w:bCs/>
          <w:color w:val="000000" w:themeColor="text1"/>
          <w:szCs w:val="24"/>
          <w:lang w:val="zh-CN"/>
          <w14:textFill>
            <w14:solidFill>
              <w14:schemeClr w14:val="tx1"/>
            </w14:solidFill>
          </w14:textFill>
        </w:rPr>
      </w:pPr>
      <w:bookmarkStart w:id="231" w:name="_Toc25784"/>
      <w:bookmarkStart w:id="232" w:name="_Toc136173583"/>
      <w:r>
        <w:rPr>
          <w:rFonts w:hint="eastAsia" w:ascii="宋体" w:hAnsi="宋体" w:eastAsia="宋体" w:cs="宋体"/>
          <w:b/>
          <w:bCs/>
          <w:color w:val="000000" w:themeColor="text1"/>
          <w:szCs w:val="24"/>
          <w14:textFill>
            <w14:solidFill>
              <w14:schemeClr w14:val="tx1"/>
            </w14:solidFill>
          </w14:textFill>
        </w:rPr>
        <w:t>4.1投标文件的密封和标记</w:t>
      </w:r>
      <w:bookmarkEnd w:id="231"/>
      <w:bookmarkEnd w:id="232"/>
    </w:p>
    <w:p w14:paraId="24C7BC85">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.1.1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投标人应将《投标函》、《技术投标文件》、《商务投标文件》分</w:t>
      </w:r>
      <w:r>
        <w:rPr>
          <w:rFonts w:hint="eastAsia" w:ascii="宋体" w:hAnsi="宋体" w:eastAsia="宋体" w:cs="宋体"/>
          <w:color w:val="000000" w:themeColor="text1"/>
          <w:szCs w:val="24"/>
          <w14:textFill>
            <w14:solidFill>
              <w14:schemeClr w14:val="tx1"/>
            </w14:solidFill>
          </w14:textFill>
        </w:rPr>
        <w:t>别</w:t>
      </w:r>
      <w:r>
        <w:rPr>
          <w:rFonts w:hint="eastAsia" w:ascii="宋体" w:hAnsi="宋体" w:eastAsia="宋体" w:cs="宋体"/>
          <w:color w:val="000000" w:themeColor="text1"/>
          <w:szCs w:val="24"/>
          <w:lang w:val="zh-CN"/>
          <w14:textFill>
            <w14:solidFill>
              <w14:schemeClr w14:val="tx1"/>
            </w14:solidFill>
          </w14:textFill>
        </w:rPr>
        <w:t>密封</w:t>
      </w:r>
      <w:r>
        <w:rPr>
          <w:rFonts w:hint="eastAsia" w:ascii="宋体" w:hAnsi="宋体" w:eastAsia="宋体" w:cs="宋体"/>
          <w:color w:val="000000" w:themeColor="text1"/>
          <w:szCs w:val="24"/>
          <w14:textFill>
            <w14:solidFill>
              <w14:schemeClr w14:val="tx1"/>
            </w14:solidFill>
          </w14:textFill>
        </w:rPr>
        <w:t>在三个密封袋内，</w:t>
      </w:r>
      <w:r>
        <w:rPr>
          <w:rFonts w:hint="eastAsia" w:ascii="宋体" w:hAnsi="宋体" w:eastAsia="宋体" w:cs="宋体"/>
          <w:color w:val="000000" w:themeColor="text1"/>
          <w:szCs w:val="24"/>
          <w:lang w:val="zh-CN"/>
          <w14:textFill>
            <w14:solidFill>
              <w14:schemeClr w14:val="tx1"/>
            </w14:solidFill>
          </w14:textFill>
        </w:rPr>
        <w:t>电子投标文件</w:t>
      </w:r>
      <w:r>
        <w:rPr>
          <w:rFonts w:hint="eastAsia" w:ascii="宋体" w:hAnsi="宋体" w:eastAsia="宋体" w:cs="宋体"/>
          <w:color w:val="000000" w:themeColor="text1"/>
          <w:szCs w:val="24"/>
          <w14:textFill>
            <w14:solidFill>
              <w14:schemeClr w14:val="tx1"/>
            </w14:solidFill>
          </w14:textFill>
        </w:rPr>
        <w:t>（U盘拷贝，非电子投标需要）随</w:t>
      </w:r>
      <w:r>
        <w:rPr>
          <w:rFonts w:hint="eastAsia" w:ascii="宋体" w:hAnsi="宋体" w:eastAsia="宋体" w:cs="宋体"/>
          <w:color w:val="000000" w:themeColor="text1"/>
          <w:szCs w:val="24"/>
          <w:lang w:val="zh-CN"/>
          <w14:textFill>
            <w14:solidFill>
              <w14:schemeClr w14:val="tx1"/>
            </w14:solidFill>
          </w14:textFill>
        </w:rPr>
        <w:t>《投标函》</w:t>
      </w:r>
      <w:r>
        <w:rPr>
          <w:rFonts w:hint="eastAsia" w:ascii="宋体" w:hAnsi="宋体" w:eastAsia="宋体" w:cs="宋体"/>
          <w:color w:val="000000" w:themeColor="text1"/>
          <w:szCs w:val="24"/>
          <w14:textFill>
            <w14:solidFill>
              <w14:schemeClr w14:val="tx1"/>
            </w14:solidFill>
          </w14:textFill>
        </w:rPr>
        <w:t>一同密封，并在包封右上角正确标明“正本”或“副本”字样</w:t>
      </w:r>
      <w:r>
        <w:rPr>
          <w:rFonts w:hint="eastAsia" w:ascii="宋体" w:hAnsi="宋体" w:eastAsia="宋体" w:cs="宋体"/>
          <w:color w:val="000000" w:themeColor="text1"/>
          <w:szCs w:val="24"/>
          <w:lang w:val="zh-CN"/>
          <w14:textFill>
            <w14:solidFill>
              <w14:schemeClr w14:val="tx1"/>
            </w14:solidFill>
          </w14:textFill>
        </w:rPr>
        <w:t>。</w:t>
      </w:r>
    </w:p>
    <w:p w14:paraId="1D97F690">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4.1.2 密封袋封面应写明投标单位名称和地址、文件名称、招标编号、并注明</w:t>
      </w:r>
    </w:p>
    <w:p w14:paraId="69DAB2C9">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    年  月  日  时（开标时间）</w:t>
      </w:r>
      <w:r>
        <w:rPr>
          <w:rFonts w:hint="eastAsia" w:ascii="宋体" w:hAnsi="宋体" w:eastAsia="宋体" w:cs="宋体"/>
          <w:b/>
          <w:bCs/>
          <w:color w:val="000000" w:themeColor="text1"/>
          <w:szCs w:val="24"/>
          <w:lang w:val="zh-CN"/>
          <w14:textFill>
            <w14:solidFill>
              <w14:schemeClr w14:val="tx1"/>
            </w14:solidFill>
          </w14:textFill>
        </w:rPr>
        <w:t>前不得</w:t>
      </w:r>
      <w:r>
        <w:rPr>
          <w:rFonts w:hint="eastAsia" w:ascii="宋体" w:hAnsi="宋体" w:eastAsia="宋体" w:cs="宋体"/>
          <w:b/>
          <w:bCs/>
          <w:color w:val="000000" w:themeColor="text1"/>
          <w:szCs w:val="24"/>
          <w14:textFill>
            <w14:solidFill>
              <w14:schemeClr w14:val="tx1"/>
            </w14:solidFill>
          </w14:textFill>
        </w:rPr>
        <w:t>启封</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。密封包加盖骑缝印章，骑缝印章包括法人单位公章和法定代表人印章。</w:t>
      </w:r>
    </w:p>
    <w:p w14:paraId="0609C19F">
      <w:pPr>
        <w:spacing w:line="360" w:lineRule="auto"/>
        <w:rPr>
          <w:rFonts w:hint="eastAsia"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文件名称：</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*********************投标文件</w:t>
      </w:r>
      <w:r>
        <w:rPr>
          <w:rFonts w:hint="eastAsia" w:ascii="宋体" w:hAnsi="宋体" w:eastAsia="宋体" w:cs="宋体"/>
          <w:b/>
          <w:bCs/>
          <w:color w:val="000000" w:themeColor="text1"/>
          <w:szCs w:val="24"/>
          <w:lang w:val="zh-CN"/>
          <w14:textFill>
            <w14:solidFill>
              <w14:schemeClr w14:val="tx1"/>
            </w14:solidFill>
          </w14:textFill>
        </w:rPr>
        <w:t>”</w:t>
      </w:r>
    </w:p>
    <w:p w14:paraId="3F559E78">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b/>
          <w:bCs/>
          <w:color w:val="000000" w:themeColor="text1"/>
          <w:szCs w:val="24"/>
          <w14:textFill>
            <w14:solidFill>
              <w14:schemeClr w14:val="tx1"/>
            </w14:solidFill>
          </w14:textFill>
        </w:rPr>
        <w:t>“***********************”</w:t>
      </w:r>
    </w:p>
    <w:p w14:paraId="52AD33CA">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33" w:name="_Toc136173584"/>
      <w:bookmarkStart w:id="234" w:name="_Toc17458"/>
      <w:r>
        <w:rPr>
          <w:rFonts w:hint="eastAsia" w:ascii="宋体" w:hAnsi="宋体" w:eastAsia="宋体" w:cs="宋体"/>
          <w:b/>
          <w:bCs/>
          <w:color w:val="000000" w:themeColor="text1"/>
          <w:szCs w:val="24"/>
          <w14:textFill>
            <w14:solidFill>
              <w14:schemeClr w14:val="tx1"/>
            </w14:solidFill>
          </w14:textFill>
        </w:rPr>
        <w:t>4.2 投标文件的提交</w:t>
      </w:r>
      <w:bookmarkEnd w:id="233"/>
      <w:bookmarkEnd w:id="234"/>
    </w:p>
    <w:p w14:paraId="59A8B030">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4.2.1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按本须知规定的</w:t>
      </w:r>
      <w:r>
        <w:rPr>
          <w:rFonts w:hint="eastAsia" w:ascii="宋体" w:hAnsi="宋体" w:eastAsia="宋体" w:cs="宋体"/>
          <w:color w:val="000000" w:themeColor="text1"/>
          <w:szCs w:val="24"/>
          <w:lang w:val="zh-CN"/>
          <w14:textFill>
            <w14:solidFill>
              <w14:schemeClr w14:val="tx1"/>
            </w14:solidFill>
          </w14:textFill>
        </w:rPr>
        <w:t>地点</w:t>
      </w:r>
      <w:r>
        <w:rPr>
          <w:rFonts w:hint="eastAsia" w:ascii="宋体" w:hAnsi="宋体" w:eastAsia="宋体" w:cs="宋体"/>
          <w:color w:val="000000" w:themeColor="text1"/>
          <w:szCs w:val="24"/>
          <w14:textFill>
            <w14:solidFill>
              <w14:schemeClr w14:val="tx1"/>
            </w14:solidFill>
          </w14:textFill>
        </w:rPr>
        <w:t>，于投标截止时间前采用邮寄或现场送达方式提交投标文件</w:t>
      </w:r>
      <w:r>
        <w:rPr>
          <w:rFonts w:hint="eastAsia" w:ascii="宋体" w:hAnsi="宋体" w:eastAsia="宋体" w:cs="宋体"/>
          <w:color w:val="000000" w:themeColor="text1"/>
          <w:szCs w:val="24"/>
          <w:lang w:val="zh-CN"/>
          <w14:textFill>
            <w14:solidFill>
              <w14:schemeClr w14:val="tx1"/>
            </w14:solidFill>
          </w14:textFill>
        </w:rPr>
        <w:t>。</w:t>
      </w:r>
    </w:p>
    <w:p w14:paraId="377BF92E">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4.2.2 投标文件提交</w:t>
      </w:r>
      <w:r>
        <w:rPr>
          <w:rFonts w:hint="eastAsia" w:ascii="宋体" w:hAnsi="宋体" w:eastAsia="宋体" w:cs="宋体"/>
          <w:color w:val="000000" w:themeColor="text1"/>
          <w:szCs w:val="24"/>
          <w:lang w:val="zh-CN"/>
          <w14:textFill>
            <w14:solidFill>
              <w14:schemeClr w14:val="tx1"/>
            </w14:solidFill>
          </w14:textFill>
        </w:rPr>
        <w:t>地址：见投标人须知前附表。</w:t>
      </w:r>
    </w:p>
    <w:p w14:paraId="2A132816">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35" w:name="_Toc136173585"/>
      <w:bookmarkStart w:id="236" w:name="_Toc12658"/>
      <w:r>
        <w:rPr>
          <w:rFonts w:hint="eastAsia" w:ascii="宋体" w:hAnsi="宋体" w:eastAsia="宋体" w:cs="宋体"/>
          <w:b/>
          <w:bCs/>
          <w:color w:val="000000" w:themeColor="text1"/>
          <w:szCs w:val="24"/>
          <w14:textFill>
            <w14:solidFill>
              <w14:schemeClr w14:val="tx1"/>
            </w14:solidFill>
          </w14:textFill>
        </w:rPr>
        <w:t>4.3投标文件提交的截止时间</w:t>
      </w:r>
      <w:bookmarkEnd w:id="235"/>
      <w:bookmarkEnd w:id="236"/>
    </w:p>
    <w:p w14:paraId="3BF5ADAF">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w:t>
      </w:r>
      <w:r>
        <w:rPr>
          <w:rFonts w:hint="eastAsia" w:ascii="宋体" w:hAnsi="宋体" w:eastAsia="宋体" w:cs="宋体"/>
          <w:color w:val="000000" w:themeColor="text1"/>
          <w:szCs w:val="24"/>
          <w14:textFill>
            <w14:solidFill>
              <w14:schemeClr w14:val="tx1"/>
            </w14:solidFill>
          </w14:textFill>
        </w:rPr>
        <w:t>文件提交的</w:t>
      </w:r>
      <w:r>
        <w:rPr>
          <w:rFonts w:hint="eastAsia" w:ascii="宋体" w:hAnsi="宋体" w:eastAsia="宋体" w:cs="宋体"/>
          <w:color w:val="000000" w:themeColor="text1"/>
          <w:szCs w:val="24"/>
          <w:lang w:val="zh-CN"/>
          <w14:textFill>
            <w14:solidFill>
              <w14:schemeClr w14:val="tx1"/>
            </w14:solidFill>
          </w14:textFill>
        </w:rPr>
        <w:t>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：见投标人须知前附表。</w:t>
      </w:r>
    </w:p>
    <w:p w14:paraId="5B14D64F">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在</w:t>
      </w:r>
      <w:r>
        <w:rPr>
          <w:rFonts w:hint="eastAsia" w:ascii="宋体" w:hAnsi="宋体" w:eastAsia="宋体" w:cs="宋体"/>
          <w:color w:val="000000" w:themeColor="text1"/>
          <w:szCs w:val="24"/>
          <w:lang w:val="zh-CN"/>
          <w14:textFill>
            <w14:solidFill>
              <w14:schemeClr w14:val="tx1"/>
            </w14:solidFill>
          </w14:textFill>
        </w:rPr>
        <w:t>规定的日期和时间之前</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将投标文件递交</w:t>
      </w:r>
      <w:r>
        <w:rPr>
          <w:rFonts w:hint="eastAsia" w:ascii="宋体" w:hAnsi="宋体" w:eastAsia="宋体" w:cs="宋体"/>
          <w:color w:val="000000" w:themeColor="text1"/>
          <w:szCs w:val="24"/>
          <w14:textFill>
            <w14:solidFill>
              <w14:schemeClr w14:val="tx1"/>
            </w14:solidFill>
          </w14:textFill>
        </w:rPr>
        <w:t>到</w:t>
      </w:r>
      <w:r>
        <w:rPr>
          <w:rFonts w:hint="eastAsia" w:ascii="宋体" w:hAnsi="宋体" w:eastAsia="宋体" w:cs="宋体"/>
          <w:color w:val="000000" w:themeColor="text1"/>
          <w:szCs w:val="24"/>
          <w:lang w:val="zh-CN"/>
          <w14:textFill>
            <w14:solidFill>
              <w14:schemeClr w14:val="tx1"/>
            </w14:solidFill>
          </w14:textFill>
        </w:rPr>
        <w:t>招标人</w:t>
      </w:r>
      <w:r>
        <w:rPr>
          <w:rFonts w:hint="eastAsia" w:ascii="宋体" w:hAnsi="宋体" w:eastAsia="宋体" w:cs="宋体"/>
          <w:color w:val="000000" w:themeColor="text1"/>
          <w:szCs w:val="24"/>
          <w14:textFill>
            <w14:solidFill>
              <w14:schemeClr w14:val="tx1"/>
            </w14:solidFill>
          </w14:textFill>
        </w:rPr>
        <w:t>指定地点</w:t>
      </w:r>
      <w:r>
        <w:rPr>
          <w:rFonts w:hint="eastAsia" w:ascii="宋体" w:hAnsi="宋体" w:eastAsia="宋体" w:cs="宋体"/>
          <w:color w:val="000000" w:themeColor="text1"/>
          <w:szCs w:val="24"/>
          <w:lang w:val="zh-CN"/>
          <w14:textFill>
            <w14:solidFill>
              <w14:schemeClr w14:val="tx1"/>
            </w14:solidFill>
          </w14:textFill>
        </w:rPr>
        <w:t>。</w:t>
      </w:r>
    </w:p>
    <w:p w14:paraId="496E7655">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如果招标人的补充通知书在离投标截止日期</w:t>
      </w:r>
      <w:r>
        <w:rPr>
          <w:rFonts w:hint="eastAsia" w:ascii="宋体" w:hAnsi="宋体" w:eastAsia="宋体" w:cs="宋体"/>
          <w:color w:val="000000" w:themeColor="text1"/>
          <w:szCs w:val="24"/>
          <w14:textFill>
            <w14:solidFill>
              <w14:schemeClr w14:val="tx1"/>
            </w14:solidFill>
          </w14:textFill>
        </w:rPr>
        <w:t>7日</w:t>
      </w:r>
      <w:r>
        <w:rPr>
          <w:rFonts w:hint="eastAsia" w:ascii="宋体" w:hAnsi="宋体" w:eastAsia="宋体" w:cs="宋体"/>
          <w:color w:val="000000" w:themeColor="text1"/>
          <w:szCs w:val="24"/>
          <w:lang w:val="zh-CN"/>
          <w14:textFill>
            <w14:solidFill>
              <w14:schemeClr w14:val="tx1"/>
            </w14:solidFill>
          </w14:textFill>
        </w:rPr>
        <w:t>内提出，则投标截止期</w:t>
      </w:r>
      <w:r>
        <w:rPr>
          <w:rFonts w:hint="eastAsia" w:ascii="宋体" w:hAnsi="宋体" w:eastAsia="宋体" w:cs="宋体"/>
          <w:color w:val="000000" w:themeColor="text1"/>
          <w:szCs w:val="24"/>
          <w14:textFill>
            <w14:solidFill>
              <w14:schemeClr w14:val="tx1"/>
            </w14:solidFill>
          </w14:textFill>
        </w:rPr>
        <w:t>相应</w:t>
      </w:r>
      <w:r>
        <w:rPr>
          <w:rFonts w:hint="eastAsia" w:ascii="宋体" w:hAnsi="宋体" w:eastAsia="宋体" w:cs="宋体"/>
          <w:color w:val="000000" w:themeColor="text1"/>
          <w:szCs w:val="24"/>
          <w:lang w:val="zh-CN"/>
          <w14:textFill>
            <w14:solidFill>
              <w14:schemeClr w14:val="tx1"/>
            </w14:solidFill>
          </w14:textFill>
        </w:rPr>
        <w:t>顺延。在上述情况下，招标人与投标人以前在投标截止期方面的全部权力、责任和义务，将适用于延长后新的投标截止期。</w:t>
      </w:r>
    </w:p>
    <w:p w14:paraId="2DBE685B">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37" w:name="_Toc136173586"/>
      <w:bookmarkStart w:id="238" w:name="_Toc6302"/>
      <w:r>
        <w:rPr>
          <w:rFonts w:hint="eastAsia" w:ascii="宋体" w:hAnsi="宋体" w:eastAsia="宋体" w:cs="宋体"/>
          <w:b/>
          <w:bCs/>
          <w:color w:val="000000" w:themeColor="text1"/>
          <w:szCs w:val="24"/>
          <w14:textFill>
            <w14:solidFill>
              <w14:schemeClr w14:val="tx1"/>
            </w14:solidFill>
          </w14:textFill>
        </w:rPr>
        <w:t>4.4 迟交的投标文件</w:t>
      </w:r>
      <w:bookmarkEnd w:id="237"/>
      <w:bookmarkEnd w:id="238"/>
    </w:p>
    <w:p w14:paraId="7CB63DDA">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招标人在投标截止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以后收到的投标文件，将</w:t>
      </w:r>
      <w:r>
        <w:rPr>
          <w:rFonts w:hint="eastAsia" w:ascii="宋体" w:hAnsi="宋体" w:eastAsia="宋体" w:cs="宋体"/>
          <w:color w:val="000000" w:themeColor="text1"/>
          <w:szCs w:val="24"/>
          <w14:textFill>
            <w14:solidFill>
              <w14:schemeClr w14:val="tx1"/>
            </w14:solidFill>
          </w14:textFill>
        </w:rPr>
        <w:t>被拒绝</w:t>
      </w:r>
      <w:r>
        <w:rPr>
          <w:rFonts w:hint="eastAsia" w:ascii="宋体" w:hAnsi="宋体" w:eastAsia="宋体" w:cs="宋体"/>
          <w:color w:val="000000" w:themeColor="text1"/>
          <w:szCs w:val="24"/>
          <w:lang w:val="zh-CN"/>
          <w14:textFill>
            <w14:solidFill>
              <w14:schemeClr w14:val="tx1"/>
            </w14:solidFill>
          </w14:textFill>
        </w:rPr>
        <w:t>。</w:t>
      </w:r>
    </w:p>
    <w:p w14:paraId="766FC961">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39" w:name="_Toc8324"/>
      <w:bookmarkStart w:id="240" w:name="_Toc136173587"/>
      <w:r>
        <w:rPr>
          <w:rFonts w:hint="eastAsia" w:ascii="宋体" w:hAnsi="宋体" w:eastAsia="宋体" w:cs="宋体"/>
          <w:b/>
          <w:bCs/>
          <w:color w:val="000000" w:themeColor="text1"/>
          <w:szCs w:val="24"/>
          <w14:textFill>
            <w14:solidFill>
              <w14:schemeClr w14:val="tx1"/>
            </w14:solidFill>
          </w14:textFill>
        </w:rPr>
        <w:t>4.5 投标文件的修改和撤回</w:t>
      </w:r>
      <w:bookmarkEnd w:id="239"/>
      <w:bookmarkEnd w:id="240"/>
    </w:p>
    <w:p w14:paraId="398D91BD">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投标人在递交投标文件后，在规定的投标截止时间之前，可以书面形式向招标人递交请求修改或撤回其投标文件的通知。但在投标截止日期以后不能修改或撤回投标文件。</w:t>
      </w:r>
    </w:p>
    <w:p w14:paraId="071CD11C">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投标人修改后的投标文件或撤回通知，应按本须知规定编制、密封、标志和递交，并在包封</w:t>
      </w:r>
      <w:r>
        <w:rPr>
          <w:rFonts w:hint="eastAsia" w:ascii="宋体" w:hAnsi="宋体" w:eastAsia="宋体" w:cs="宋体"/>
          <w:color w:val="000000" w:themeColor="text1"/>
          <w:szCs w:val="24"/>
          <w14:textFill>
            <w14:solidFill>
              <w14:schemeClr w14:val="tx1"/>
            </w14:solidFill>
          </w14:textFill>
        </w:rPr>
        <w:t>上</w:t>
      </w:r>
      <w:r>
        <w:rPr>
          <w:rFonts w:hint="eastAsia" w:ascii="宋体" w:hAnsi="宋体" w:eastAsia="宋体" w:cs="宋体"/>
          <w:color w:val="000000" w:themeColor="text1"/>
          <w:szCs w:val="24"/>
          <w:lang w:val="zh-CN"/>
          <w14:textFill>
            <w14:solidFill>
              <w14:schemeClr w14:val="tx1"/>
            </w14:solidFill>
          </w14:textFill>
        </w:rPr>
        <w:t>标明“修改”或“撤回”的字样。</w:t>
      </w:r>
    </w:p>
    <w:p w14:paraId="778EE3A7">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根据本须知规定，在投标截止时间与招标文件中规定的投标有效期终止日之间的这段时间内，投标人不能撤回投标文件。</w:t>
      </w:r>
    </w:p>
    <w:p w14:paraId="3FC07E9F">
      <w:pPr>
        <w:spacing w:line="360" w:lineRule="auto"/>
        <w:rPr>
          <w:rFonts w:hint="eastAsia" w:ascii="宋体" w:hAnsi="宋体" w:eastAsia="宋体" w:cs="宋体"/>
          <w:b/>
          <w:bCs/>
          <w:color w:val="000000" w:themeColor="text1"/>
          <w:szCs w:val="24"/>
          <w:highlight w:val="yellow"/>
          <w14:textFill>
            <w14:solidFill>
              <w14:schemeClr w14:val="tx1"/>
            </w14:solidFill>
          </w14:textFill>
        </w:rPr>
      </w:pPr>
      <w:r>
        <w:rPr>
          <w:rFonts w:hint="eastAsia" w:ascii="宋体" w:hAnsi="宋体" w:eastAsia="宋体" w:cs="宋体"/>
          <w:b/>
          <w:bCs/>
          <w:color w:val="000000" w:themeColor="text1"/>
          <w:szCs w:val="24"/>
          <w:highlight w:val="yellow"/>
          <w14:textFill>
            <w14:solidFill>
              <w14:schemeClr w14:val="tx1"/>
            </w14:solidFill>
          </w14:textFill>
        </w:rPr>
        <w:t>4.5.4 如采用线上招标请参照投标须知内容即可。</w:t>
      </w:r>
    </w:p>
    <w:p w14:paraId="56C66477">
      <w:pPr>
        <w:pStyle w:val="5"/>
        <w:spacing w:before="240" w:beforeLines="100" w:after="240" w:afterLines="100" w:line="360" w:lineRule="auto"/>
        <w:rPr>
          <w:rFonts w:hint="eastAsia" w:ascii="宋体" w:hAnsi="宋体" w:cs="宋体"/>
          <w:color w:val="000000" w:themeColor="text1"/>
          <w:sz w:val="24"/>
          <w:szCs w:val="24"/>
          <w14:textFill>
            <w14:solidFill>
              <w14:schemeClr w14:val="tx1"/>
            </w14:solidFill>
          </w14:textFill>
        </w:rPr>
      </w:pPr>
      <w:bookmarkStart w:id="241" w:name="_Toc136173588"/>
      <w:bookmarkStart w:id="242" w:name="_Toc12804"/>
      <w:r>
        <w:rPr>
          <w:rFonts w:hint="eastAsia" w:ascii="宋体" w:hAnsi="宋体" w:cs="宋体"/>
          <w:color w:val="000000" w:themeColor="text1"/>
          <w:sz w:val="24"/>
          <w:szCs w:val="24"/>
          <w14:textFill>
            <w14:solidFill>
              <w14:schemeClr w14:val="tx1"/>
            </w14:solidFill>
          </w14:textFill>
        </w:rPr>
        <w:t>5.  开标</w:t>
      </w:r>
      <w:bookmarkEnd w:id="227"/>
      <w:bookmarkEnd w:id="228"/>
      <w:bookmarkEnd w:id="241"/>
      <w:bookmarkEnd w:id="242"/>
    </w:p>
    <w:p w14:paraId="140906BE">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43" w:name="_Toc7579"/>
      <w:bookmarkStart w:id="244" w:name="_Toc136173589"/>
      <w:r>
        <w:rPr>
          <w:rFonts w:hint="eastAsia" w:ascii="宋体" w:hAnsi="宋体" w:eastAsia="宋体" w:cs="宋体"/>
          <w:b/>
          <w:bCs/>
          <w:color w:val="000000" w:themeColor="text1"/>
          <w:szCs w:val="24"/>
          <w14:textFill>
            <w14:solidFill>
              <w14:schemeClr w14:val="tx1"/>
            </w14:solidFill>
          </w14:textFill>
        </w:rPr>
        <w:t>5.1 开标时间及地点</w:t>
      </w:r>
      <w:bookmarkEnd w:id="243"/>
      <w:bookmarkEnd w:id="244"/>
    </w:p>
    <w:p w14:paraId="395474E0">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781484A5">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45" w:name="_Toc26498"/>
      <w:bookmarkStart w:id="246" w:name="_Toc136173590"/>
      <w:r>
        <w:rPr>
          <w:rFonts w:hint="eastAsia" w:ascii="宋体" w:hAnsi="宋体" w:eastAsia="宋体" w:cs="宋体"/>
          <w:b/>
          <w:bCs/>
          <w:color w:val="000000" w:themeColor="text1"/>
          <w:szCs w:val="24"/>
          <w14:textFill>
            <w14:solidFill>
              <w14:schemeClr w14:val="tx1"/>
            </w14:solidFill>
          </w14:textFill>
        </w:rPr>
        <w:t>5.2开标程序</w:t>
      </w:r>
      <w:bookmarkEnd w:id="245"/>
      <w:bookmarkEnd w:id="246"/>
    </w:p>
    <w:p w14:paraId="4631B4E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7BF5478C">
      <w:pPr>
        <w:pStyle w:val="5"/>
        <w:spacing w:before="240" w:beforeLines="100" w:after="240" w:afterLines="100" w:line="360" w:lineRule="auto"/>
        <w:rPr>
          <w:rFonts w:hint="eastAsia" w:ascii="宋体" w:hAnsi="宋体" w:cs="宋体"/>
          <w:color w:val="000000" w:themeColor="text1"/>
          <w:sz w:val="24"/>
          <w:szCs w:val="24"/>
          <w14:textFill>
            <w14:solidFill>
              <w14:schemeClr w14:val="tx1"/>
            </w14:solidFill>
          </w14:textFill>
        </w:rPr>
      </w:pPr>
      <w:bookmarkStart w:id="247" w:name="_Toc9457674"/>
      <w:bookmarkStart w:id="248" w:name="_Toc23800"/>
      <w:bookmarkStart w:id="249" w:name="_Toc78948807"/>
      <w:bookmarkStart w:id="250" w:name="_Toc136173591"/>
      <w:r>
        <w:rPr>
          <w:rFonts w:hint="eastAsia" w:ascii="宋体" w:hAnsi="宋体" w:cs="宋体"/>
          <w:color w:val="000000" w:themeColor="text1"/>
          <w:sz w:val="24"/>
          <w:szCs w:val="24"/>
          <w14:textFill>
            <w14:solidFill>
              <w14:schemeClr w14:val="tx1"/>
            </w14:solidFill>
          </w14:textFill>
        </w:rPr>
        <w:t>6. 评标</w:t>
      </w:r>
      <w:bookmarkEnd w:id="247"/>
      <w:bookmarkEnd w:id="248"/>
      <w:bookmarkEnd w:id="249"/>
      <w:bookmarkEnd w:id="250"/>
    </w:p>
    <w:p w14:paraId="0BC6B2F5">
      <w:pPr>
        <w:spacing w:line="360" w:lineRule="auto"/>
        <w:rPr>
          <w:rFonts w:hint="eastAsia"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本次项目的评标过程由招标人自行组织。</w:t>
      </w:r>
    </w:p>
    <w:p w14:paraId="60CC2676">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1" w:name="_Toc136173592"/>
      <w:bookmarkStart w:id="252" w:name="_Toc6585"/>
      <w:r>
        <w:rPr>
          <w:rFonts w:hint="eastAsia" w:ascii="宋体" w:hAnsi="宋体" w:eastAsia="宋体" w:cs="宋体"/>
          <w:b/>
          <w:bCs/>
          <w:color w:val="000000" w:themeColor="text1"/>
          <w:szCs w:val="24"/>
          <w14:textFill>
            <w14:solidFill>
              <w14:schemeClr w14:val="tx1"/>
            </w14:solidFill>
          </w14:textFill>
        </w:rPr>
        <w:t>6.1 评标委员会</w:t>
      </w:r>
      <w:bookmarkEnd w:id="251"/>
      <w:bookmarkEnd w:id="252"/>
    </w:p>
    <w:p w14:paraId="12EC6552">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6.1.1 招标</w:t>
      </w:r>
      <w:r>
        <w:rPr>
          <w:rFonts w:hint="eastAsia" w:ascii="宋体" w:hAnsi="宋体" w:eastAsia="宋体" w:cs="宋体"/>
          <w:color w:val="000000" w:themeColor="text1"/>
          <w:szCs w:val="24"/>
          <w14:textFill>
            <w14:solidFill>
              <w14:schemeClr w14:val="tx1"/>
            </w14:solidFill>
          </w14:textFill>
        </w:rPr>
        <w:t>人自行</w:t>
      </w:r>
      <w:r>
        <w:rPr>
          <w:rFonts w:hint="eastAsia" w:ascii="宋体" w:hAnsi="宋体" w:eastAsia="宋体" w:cs="宋体"/>
          <w:color w:val="000000" w:themeColor="text1"/>
          <w:szCs w:val="24"/>
          <w:lang w:val="zh-CN"/>
          <w14:textFill>
            <w14:solidFill>
              <w14:schemeClr w14:val="tx1"/>
            </w14:solidFill>
          </w14:textFill>
        </w:rPr>
        <w:t>组建评标委员会，评标委员会由有关经济、技术等方面的专家组成。</w:t>
      </w:r>
    </w:p>
    <w:p w14:paraId="11F7B636">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6.2.</w:t>
      </w:r>
      <w:r>
        <w:rPr>
          <w:rFonts w:hint="eastAsia" w:ascii="宋体" w:hAnsi="宋体" w:eastAsia="宋体" w:cs="宋体"/>
          <w:color w:val="000000" w:themeColor="text1"/>
          <w:szCs w:val="24"/>
          <w14:textFill>
            <w14:solidFill>
              <w14:schemeClr w14:val="tx1"/>
            </w14:solidFill>
          </w14:textFill>
        </w:rPr>
        <w:t xml:space="preserve">2 </w:t>
      </w:r>
      <w:r>
        <w:rPr>
          <w:rFonts w:hint="eastAsia" w:ascii="宋体" w:hAnsi="宋体" w:eastAsia="宋体" w:cs="宋体"/>
          <w:color w:val="000000" w:themeColor="text1"/>
          <w:szCs w:val="24"/>
          <w:lang w:val="zh-CN"/>
          <w14:textFill>
            <w14:solidFill>
              <w14:schemeClr w14:val="tx1"/>
            </w14:solidFill>
          </w14:textFill>
        </w:rPr>
        <w:t>评标委员会负责评标工作，对投标文件进行审查和评估。</w:t>
      </w:r>
    </w:p>
    <w:p w14:paraId="6715EAAA">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3" w:name="_Toc13688"/>
      <w:bookmarkStart w:id="254" w:name="_Toc136173593"/>
      <w:r>
        <w:rPr>
          <w:rFonts w:hint="eastAsia" w:ascii="宋体" w:hAnsi="宋体" w:eastAsia="宋体" w:cs="宋体"/>
          <w:b/>
          <w:bCs/>
          <w:color w:val="000000" w:themeColor="text1"/>
          <w:szCs w:val="24"/>
          <w14:textFill>
            <w14:solidFill>
              <w14:schemeClr w14:val="tx1"/>
            </w14:solidFill>
          </w14:textFill>
        </w:rPr>
        <w:t>6.2 评标原则</w:t>
      </w:r>
      <w:bookmarkEnd w:id="253"/>
      <w:bookmarkEnd w:id="254"/>
    </w:p>
    <w:p w14:paraId="4ED86CAD">
      <w:pPr>
        <w:spacing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评标活动遵循公平、公正、科学和择优的原则。</w:t>
      </w:r>
    </w:p>
    <w:p w14:paraId="5FCDF86B">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5" w:name="_Toc4963"/>
      <w:bookmarkStart w:id="256" w:name="_Toc136173594"/>
      <w:r>
        <w:rPr>
          <w:rFonts w:hint="eastAsia" w:ascii="宋体" w:hAnsi="宋体" w:eastAsia="宋体" w:cs="宋体"/>
          <w:b/>
          <w:bCs/>
          <w:color w:val="000000" w:themeColor="text1"/>
          <w:szCs w:val="24"/>
          <w14:textFill>
            <w14:solidFill>
              <w14:schemeClr w14:val="tx1"/>
            </w14:solidFill>
          </w14:textFill>
        </w:rPr>
        <w:t>6.3 评标方法</w:t>
      </w:r>
      <w:bookmarkEnd w:id="255"/>
      <w:bookmarkEnd w:id="256"/>
    </w:p>
    <w:p w14:paraId="7BC01D5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评标委员会按照第二章“评标办法”规定的方法、评审因素、标准和程序对投标文件进行评审。</w:t>
      </w:r>
    </w:p>
    <w:p w14:paraId="1431EE0B">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7" w:name="_Toc7580"/>
      <w:bookmarkStart w:id="258" w:name="_Toc136173595"/>
      <w:r>
        <w:rPr>
          <w:rFonts w:hint="eastAsia" w:ascii="宋体" w:hAnsi="宋体" w:eastAsia="宋体" w:cs="宋体"/>
          <w:b/>
          <w:bCs/>
          <w:color w:val="000000" w:themeColor="text1"/>
          <w:szCs w:val="24"/>
          <w14:textFill>
            <w14:solidFill>
              <w14:schemeClr w14:val="tx1"/>
            </w14:solidFill>
          </w14:textFill>
        </w:rPr>
        <w:t>6.4 投标文件的有效性</w:t>
      </w:r>
      <w:bookmarkEnd w:id="257"/>
      <w:bookmarkEnd w:id="258"/>
    </w:p>
    <w:p w14:paraId="5A85DD42">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投标文件有下列情况之一者，按废标处理：</w:t>
      </w:r>
    </w:p>
    <w:p w14:paraId="5C860ED5">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（1）投标截止时间以后送达的；</w:t>
      </w:r>
    </w:p>
    <w:p w14:paraId="1DF3E3C3">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（2）未按招标文件要求密封的；</w:t>
      </w:r>
    </w:p>
    <w:p w14:paraId="30757646">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（3）未按招标文件要求加盖投标人公章和法定代表人或授权委托人签署的；</w:t>
      </w:r>
    </w:p>
    <w:p w14:paraId="25472B61">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）未按招标文件要求格式填写，内容不全或字迹模糊辨认不清的；</w:t>
      </w:r>
    </w:p>
    <w:p w14:paraId="3657FACF">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投标报价高于</w:t>
      </w:r>
      <w:r>
        <w:rPr>
          <w:rFonts w:hint="eastAsia" w:ascii="宋体" w:hAnsi="宋体" w:eastAsia="宋体" w:cs="宋体"/>
          <w:color w:val="000000" w:themeColor="text1"/>
          <w:szCs w:val="24"/>
          <w14:textFill>
            <w14:solidFill>
              <w14:schemeClr w14:val="tx1"/>
            </w14:solidFill>
          </w14:textFill>
        </w:rPr>
        <w:t>本项目投标限</w:t>
      </w:r>
      <w:r>
        <w:rPr>
          <w:rFonts w:hint="eastAsia" w:ascii="宋体" w:hAnsi="宋体" w:eastAsia="宋体" w:cs="宋体"/>
          <w:color w:val="000000" w:themeColor="text1"/>
          <w:szCs w:val="24"/>
          <w:lang w:val="zh-CN"/>
          <w14:textFill>
            <w14:solidFill>
              <w14:schemeClr w14:val="tx1"/>
            </w14:solidFill>
          </w14:textFill>
        </w:rPr>
        <w:t>价；</w:t>
      </w:r>
    </w:p>
    <w:p w14:paraId="683DB77B">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Cs w:val="24"/>
          <w:lang w:val="zh-CN"/>
          <w14:textFill>
            <w14:solidFill>
              <w14:schemeClr w14:val="tx1"/>
            </w14:solidFill>
          </w14:textFill>
        </w:rPr>
        <w:t>）投标人拒不按照要求对投标文件进行澄清、说明或者补正的；</w:t>
      </w:r>
    </w:p>
    <w:p w14:paraId="22B4D32F">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）投标人以他人名义投标、串通投标、以行贿手段谋取中标或者以其它弄虚作假方式投标的；</w:t>
      </w:r>
    </w:p>
    <w:p w14:paraId="0E168253">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8</w:t>
      </w:r>
      <w:r>
        <w:rPr>
          <w:rFonts w:hint="eastAsia" w:ascii="宋体" w:hAnsi="宋体" w:eastAsia="宋体" w:cs="宋体"/>
          <w:color w:val="000000" w:themeColor="text1"/>
          <w:szCs w:val="24"/>
          <w:lang w:val="zh-CN"/>
          <w14:textFill>
            <w14:solidFill>
              <w14:schemeClr w14:val="tx1"/>
            </w14:solidFill>
          </w14:textFill>
        </w:rPr>
        <w:t>）投标文件附有招标人不能接受的条件的；</w:t>
      </w:r>
    </w:p>
    <w:p w14:paraId="1092723D">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）投标文件有实质上不响应招标文件内容的。</w:t>
      </w:r>
    </w:p>
    <w:p w14:paraId="5D353798">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9" w:name="_Toc11443"/>
      <w:bookmarkStart w:id="260" w:name="_Toc136173596"/>
      <w:r>
        <w:rPr>
          <w:rFonts w:hint="eastAsia" w:ascii="宋体" w:hAnsi="宋体" w:eastAsia="宋体" w:cs="宋体"/>
          <w:b/>
          <w:bCs/>
          <w:color w:val="000000" w:themeColor="text1"/>
          <w:szCs w:val="24"/>
          <w14:textFill>
            <w14:solidFill>
              <w14:schemeClr w14:val="tx1"/>
            </w14:solidFill>
          </w14:textFill>
        </w:rPr>
        <w:t>6.5 投标文件的澄清</w:t>
      </w:r>
      <w:bookmarkEnd w:id="259"/>
      <w:bookmarkEnd w:id="260"/>
    </w:p>
    <w:p w14:paraId="5DA2AD37">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44DBFF81">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61" w:name="_Toc136173597"/>
      <w:bookmarkStart w:id="262" w:name="_Toc26908"/>
      <w:r>
        <w:rPr>
          <w:rFonts w:hint="eastAsia" w:ascii="宋体" w:hAnsi="宋体" w:eastAsia="宋体" w:cs="宋体"/>
          <w:b/>
          <w:bCs/>
          <w:color w:val="000000" w:themeColor="text1"/>
          <w:szCs w:val="24"/>
          <w14:textFill>
            <w14:solidFill>
              <w14:schemeClr w14:val="tx1"/>
            </w14:solidFill>
          </w14:textFill>
        </w:rPr>
        <w:t xml:space="preserve">6.6 </w:t>
      </w:r>
      <w:bookmarkStart w:id="263" w:name="_Toc29356233"/>
      <w:bookmarkStart w:id="264" w:name="_Toc125171142"/>
      <w:r>
        <w:rPr>
          <w:rFonts w:hint="eastAsia" w:ascii="宋体" w:hAnsi="宋体" w:eastAsia="宋体" w:cs="宋体"/>
          <w:b/>
          <w:bCs/>
          <w:color w:val="000000" w:themeColor="text1"/>
          <w:szCs w:val="24"/>
          <w14:textFill>
            <w14:solidFill>
              <w14:schemeClr w14:val="tx1"/>
            </w14:solidFill>
          </w14:textFill>
        </w:rPr>
        <w:t>投标文件的初步评审</w:t>
      </w:r>
      <w:bookmarkEnd w:id="261"/>
      <w:bookmarkEnd w:id="262"/>
    </w:p>
    <w:p w14:paraId="46E5E09D">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6.6.1 评标委员会将审查投标文件是否完整、资格证明文件是否齐全等。</w:t>
      </w:r>
    </w:p>
    <w:p w14:paraId="7BE6BE53">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6.6.2 对于投标文件中不构成实质性偏差的不正规、不一致或不规则，招标方可以接受，但这种接受将影响投标人的综合得分。</w:t>
      </w:r>
    </w:p>
    <w:p w14:paraId="5E206771">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6.6.3 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1C2D4C78">
      <w:pPr>
        <w:spacing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6.6.4 如果投标文件实质上不响应招标文件的各项要求，评标委员会将予以拒绝，并且不允许投标人通过修改或撤消其不符合要求的差异或保留，使之成为具有响应性的投标。</w:t>
      </w:r>
    </w:p>
    <w:bookmarkEnd w:id="263"/>
    <w:bookmarkEnd w:id="264"/>
    <w:p w14:paraId="10DB5916">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65" w:name="_Toc24065"/>
      <w:bookmarkStart w:id="266" w:name="_Toc136173598"/>
      <w:r>
        <w:rPr>
          <w:rFonts w:hint="eastAsia" w:ascii="宋体" w:hAnsi="宋体" w:eastAsia="宋体" w:cs="宋体"/>
          <w:b/>
          <w:bCs/>
          <w:color w:val="000000" w:themeColor="text1"/>
          <w:szCs w:val="24"/>
          <w14:textFill>
            <w14:solidFill>
              <w14:schemeClr w14:val="tx1"/>
            </w14:solidFill>
          </w14:textFill>
        </w:rPr>
        <w:t>6.7 投标文件的详细评审</w:t>
      </w:r>
      <w:bookmarkEnd w:id="265"/>
      <w:bookmarkEnd w:id="266"/>
    </w:p>
    <w:p w14:paraId="49F54B07">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.1 评标委员会只对确定为实质上响应招标文件要求的投标</w:t>
      </w:r>
      <w:r>
        <w:rPr>
          <w:rFonts w:hint="eastAsia" w:ascii="宋体" w:hAnsi="宋体" w:eastAsia="宋体" w:cs="宋体"/>
          <w:color w:val="000000" w:themeColor="text1"/>
          <w:szCs w:val="24"/>
          <w14:textFill>
            <w14:solidFill>
              <w14:schemeClr w14:val="tx1"/>
            </w14:solidFill>
          </w14:textFill>
        </w:rPr>
        <w:t>文件</w:t>
      </w:r>
      <w:r>
        <w:rPr>
          <w:rFonts w:hint="eastAsia" w:ascii="宋体" w:hAnsi="宋体" w:eastAsia="宋体" w:cs="宋体"/>
          <w:color w:val="000000" w:themeColor="text1"/>
          <w:szCs w:val="24"/>
          <w:lang w:val="zh-CN"/>
          <w14:textFill>
            <w14:solidFill>
              <w14:schemeClr w14:val="tx1"/>
            </w14:solidFill>
          </w14:textFill>
        </w:rPr>
        <w:t>进行详细评审。</w:t>
      </w:r>
    </w:p>
    <w:p w14:paraId="624C218F">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.2 详细评审即以招标文件为依据，对所有实质上响应的投标分别从商务、技术和价格三个方面进行评审并按照百分制进行综合打分（详见第</w:t>
      </w:r>
      <w:r>
        <w:rPr>
          <w:rFonts w:hint="eastAsia" w:ascii="宋体" w:hAnsi="宋体" w:eastAsia="宋体" w:cs="宋体"/>
          <w:color w:val="000000" w:themeColor="text1"/>
          <w:szCs w:val="24"/>
          <w14:textFill>
            <w14:solidFill>
              <w14:schemeClr w14:val="tx1"/>
            </w14:solidFill>
          </w14:textFill>
        </w:rPr>
        <w:t>二</w:t>
      </w:r>
      <w:r>
        <w:rPr>
          <w:rFonts w:hint="eastAsia" w:ascii="宋体" w:hAnsi="宋体" w:eastAsia="宋体" w:cs="宋体"/>
          <w:color w:val="000000" w:themeColor="text1"/>
          <w:szCs w:val="24"/>
          <w:lang w:val="zh-CN"/>
          <w14:textFill>
            <w14:solidFill>
              <w14:schemeClr w14:val="tx1"/>
            </w14:solidFill>
          </w14:textFill>
        </w:rPr>
        <w:t>章《评标</w:t>
      </w:r>
      <w:r>
        <w:rPr>
          <w:rFonts w:hint="eastAsia" w:ascii="宋体" w:hAnsi="宋体" w:eastAsia="宋体" w:cs="宋体"/>
          <w:color w:val="000000" w:themeColor="text1"/>
          <w:szCs w:val="24"/>
          <w14:textFill>
            <w14:solidFill>
              <w14:schemeClr w14:val="tx1"/>
            </w14:solidFill>
          </w14:textFill>
        </w:rPr>
        <w:t>办法》</w:t>
      </w:r>
      <w:r>
        <w:rPr>
          <w:rFonts w:hint="eastAsia" w:ascii="宋体" w:hAnsi="宋体" w:eastAsia="宋体" w:cs="宋体"/>
          <w:color w:val="000000" w:themeColor="text1"/>
          <w:szCs w:val="24"/>
          <w:lang w:val="zh-CN"/>
          <w14:textFill>
            <w14:solidFill>
              <w14:schemeClr w14:val="tx1"/>
            </w14:solidFill>
          </w14:textFill>
        </w:rPr>
        <w:t>）。</w:t>
      </w:r>
    </w:p>
    <w:p w14:paraId="1DB058DF">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67" w:name="_Toc2914"/>
      <w:bookmarkStart w:id="268" w:name="_Toc136173599"/>
      <w:r>
        <w:rPr>
          <w:rFonts w:hint="eastAsia" w:ascii="宋体" w:hAnsi="宋体" w:eastAsia="宋体" w:cs="宋体"/>
          <w:b/>
          <w:bCs/>
          <w:color w:val="000000" w:themeColor="text1"/>
          <w:szCs w:val="24"/>
          <w14:textFill>
            <w14:solidFill>
              <w14:schemeClr w14:val="tx1"/>
            </w14:solidFill>
          </w14:textFill>
        </w:rPr>
        <w:t>6.8 中标人的确定</w:t>
      </w:r>
      <w:bookmarkEnd w:id="267"/>
      <w:bookmarkEnd w:id="268"/>
    </w:p>
    <w:p w14:paraId="114E2866">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7E708C2B">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招标人根据评标委员会的评审结果</w:t>
      </w:r>
      <w:r>
        <w:rPr>
          <w:rFonts w:hint="eastAsia" w:ascii="宋体" w:hAnsi="宋体" w:eastAsia="宋体" w:cs="宋体"/>
          <w:color w:val="000000" w:themeColor="text1"/>
          <w:szCs w:val="24"/>
          <w14:textFill>
            <w14:solidFill>
              <w14:schemeClr w14:val="tx1"/>
            </w14:solidFill>
          </w14:textFill>
        </w:rPr>
        <w:t>最终</w:t>
      </w:r>
      <w:r>
        <w:rPr>
          <w:rFonts w:hint="eastAsia" w:ascii="宋体" w:hAnsi="宋体" w:eastAsia="宋体" w:cs="宋体"/>
          <w:color w:val="000000" w:themeColor="text1"/>
          <w:szCs w:val="24"/>
          <w:lang w:val="zh-CN"/>
          <w14:textFill>
            <w14:solidFill>
              <w14:schemeClr w14:val="tx1"/>
            </w14:solidFill>
          </w14:textFill>
        </w:rPr>
        <w:t>确定中标人。招标人不保证</w:t>
      </w:r>
      <w:r>
        <w:rPr>
          <w:rFonts w:hint="eastAsia" w:ascii="宋体" w:hAnsi="宋体" w:eastAsia="宋体" w:cs="宋体"/>
          <w:color w:val="000000" w:themeColor="text1"/>
          <w:szCs w:val="24"/>
          <w14:textFill>
            <w14:solidFill>
              <w14:schemeClr w14:val="tx1"/>
            </w14:solidFill>
          </w14:textFill>
        </w:rPr>
        <w:t>投标报价</w:t>
      </w:r>
      <w:r>
        <w:rPr>
          <w:rFonts w:hint="eastAsia" w:ascii="宋体" w:hAnsi="宋体" w:eastAsia="宋体" w:cs="宋体"/>
          <w:color w:val="000000" w:themeColor="text1"/>
          <w:szCs w:val="24"/>
          <w:lang w:val="zh-CN"/>
          <w14:textFill>
            <w14:solidFill>
              <w14:schemeClr w14:val="tx1"/>
            </w14:solidFill>
          </w14:textFill>
        </w:rPr>
        <w:t>最低的投标人中标，对未中标的投标人无解释义务。</w:t>
      </w:r>
    </w:p>
    <w:p w14:paraId="3EBE59E3">
      <w:pPr>
        <w:pStyle w:val="5"/>
        <w:spacing w:before="240" w:beforeLines="100" w:after="240" w:afterLines="100" w:line="360" w:lineRule="auto"/>
        <w:rPr>
          <w:rFonts w:hint="eastAsia" w:ascii="宋体" w:hAnsi="宋体" w:cs="宋体"/>
          <w:color w:val="000000" w:themeColor="text1"/>
          <w:sz w:val="24"/>
          <w:szCs w:val="24"/>
          <w14:textFill>
            <w14:solidFill>
              <w14:schemeClr w14:val="tx1"/>
            </w14:solidFill>
          </w14:textFill>
        </w:rPr>
      </w:pPr>
      <w:bookmarkStart w:id="269" w:name="_Toc32702"/>
      <w:bookmarkStart w:id="270" w:name="_Toc136173600"/>
      <w:bookmarkStart w:id="271" w:name="_Toc9457675"/>
      <w:bookmarkStart w:id="272" w:name="_Toc78948808"/>
      <w:bookmarkStart w:id="273" w:name="_Toc277669825"/>
      <w:r>
        <w:rPr>
          <w:rFonts w:hint="eastAsia" w:ascii="宋体" w:hAnsi="宋体" w:cs="宋体"/>
          <w:color w:val="000000" w:themeColor="text1"/>
          <w:sz w:val="24"/>
          <w:szCs w:val="24"/>
          <w14:textFill>
            <w14:solidFill>
              <w14:schemeClr w14:val="tx1"/>
            </w14:solidFill>
          </w14:textFill>
        </w:rPr>
        <w:t>7. 合同的授予</w:t>
      </w:r>
      <w:bookmarkEnd w:id="269"/>
      <w:bookmarkEnd w:id="270"/>
    </w:p>
    <w:p w14:paraId="278B3481">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74" w:name="_Toc2848"/>
      <w:bookmarkStart w:id="275" w:name="_Toc136173601"/>
      <w:r>
        <w:rPr>
          <w:rFonts w:hint="eastAsia" w:ascii="宋体" w:hAnsi="宋体" w:eastAsia="宋体" w:cs="宋体"/>
          <w:b/>
          <w:bCs/>
          <w:color w:val="000000" w:themeColor="text1"/>
          <w:szCs w:val="24"/>
          <w14:textFill>
            <w14:solidFill>
              <w14:schemeClr w14:val="tx1"/>
            </w14:solidFill>
          </w14:textFill>
        </w:rPr>
        <w:t>7.1 授予合同</w:t>
      </w:r>
      <w:bookmarkEnd w:id="271"/>
      <w:bookmarkEnd w:id="272"/>
      <w:bookmarkEnd w:id="273"/>
      <w:bookmarkEnd w:id="274"/>
      <w:bookmarkEnd w:id="275"/>
    </w:p>
    <w:p w14:paraId="226A06F1">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合同授予标准</w:t>
      </w:r>
    </w:p>
    <w:p w14:paraId="5899095E">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招标人将把合同授予其投标文件在实质上响应招标文件要求和按评标程序评选出的投标人，确定为中标的投标人必须具有有效实施本合同的能力和财力。</w:t>
      </w:r>
    </w:p>
    <w:p w14:paraId="02092F5F">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7.1.2 招标人保留在授标前任何时候接受或拒绝任何投标，以及宣布招标程序无效或拒绝所有投标的权力，对受影响的投标人不承担任何责任。</w:t>
      </w:r>
    </w:p>
    <w:p w14:paraId="356B0948">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76" w:name="_Toc21965"/>
      <w:bookmarkStart w:id="277" w:name="_Toc136173602"/>
      <w:r>
        <w:rPr>
          <w:rFonts w:hint="eastAsia" w:ascii="宋体" w:hAnsi="宋体" w:eastAsia="宋体" w:cs="宋体"/>
          <w:b/>
          <w:bCs/>
          <w:color w:val="000000" w:themeColor="text1"/>
          <w:szCs w:val="24"/>
          <w14:textFill>
            <w14:solidFill>
              <w14:schemeClr w14:val="tx1"/>
            </w14:solidFill>
          </w14:textFill>
        </w:rPr>
        <w:t>7.2 中标通知书</w:t>
      </w:r>
      <w:bookmarkEnd w:id="276"/>
      <w:bookmarkEnd w:id="277"/>
    </w:p>
    <w:p w14:paraId="664FEAB8">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.2.1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确定中标人后，在投标有效期截止前招标人将以中标通知书通知中标的投标人其投标被接受</w:t>
      </w:r>
      <w:r>
        <w:rPr>
          <w:rFonts w:hint="eastAsia" w:ascii="宋体" w:hAnsi="宋体" w:eastAsia="宋体" w:cs="宋体"/>
          <w:color w:val="000000" w:themeColor="text1"/>
          <w:szCs w:val="24"/>
          <w14:textFill>
            <w14:solidFill>
              <w14:schemeClr w14:val="tx1"/>
            </w14:solidFill>
          </w14:textFill>
        </w:rPr>
        <w:t>。中标通知书是合同文件的组成部分。</w:t>
      </w:r>
    </w:p>
    <w:p w14:paraId="22EC8457">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78" w:name="_Toc31929"/>
      <w:bookmarkStart w:id="279" w:name="_Toc136173603"/>
      <w:r>
        <w:rPr>
          <w:rFonts w:hint="eastAsia" w:ascii="宋体" w:hAnsi="宋体" w:eastAsia="宋体" w:cs="宋体"/>
          <w:b/>
          <w:bCs/>
          <w:color w:val="000000" w:themeColor="text1"/>
          <w:szCs w:val="24"/>
          <w14:textFill>
            <w14:solidFill>
              <w14:schemeClr w14:val="tx1"/>
            </w14:solidFill>
          </w14:textFill>
        </w:rPr>
        <w:t>7.3合同签订</w:t>
      </w:r>
      <w:bookmarkEnd w:id="278"/>
      <w:bookmarkEnd w:id="279"/>
    </w:p>
    <w:p w14:paraId="669DBBDE">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7.3.1 招标人或招标人指定的第三人与</w:t>
      </w:r>
      <w:r>
        <w:rPr>
          <w:rFonts w:hint="eastAsia" w:ascii="宋体" w:hAnsi="宋体" w:eastAsia="宋体" w:cs="宋体"/>
          <w:color w:val="000000" w:themeColor="text1"/>
          <w:szCs w:val="24"/>
          <w:lang w:val="zh-CN"/>
          <w14:textFill>
            <w14:solidFill>
              <w14:schemeClr w14:val="tx1"/>
            </w14:solidFill>
          </w14:textFill>
        </w:rPr>
        <w:t>中标人</w:t>
      </w:r>
      <w:r>
        <w:rPr>
          <w:rFonts w:hint="eastAsia" w:ascii="宋体" w:hAnsi="宋体" w:eastAsia="宋体" w:cs="宋体"/>
          <w:color w:val="000000" w:themeColor="text1"/>
          <w:szCs w:val="24"/>
          <w14:textFill>
            <w14:solidFill>
              <w14:schemeClr w14:val="tx1"/>
            </w14:solidFill>
          </w14:textFill>
        </w:rPr>
        <w:t>将于</w:t>
      </w:r>
      <w:r>
        <w:rPr>
          <w:rFonts w:hint="eastAsia" w:ascii="宋体" w:hAnsi="宋体" w:eastAsia="宋体" w:cs="宋体"/>
          <w:color w:val="000000" w:themeColor="text1"/>
          <w:szCs w:val="24"/>
          <w:lang w:val="zh-CN"/>
          <w14:textFill>
            <w14:solidFill>
              <w14:schemeClr w14:val="tx1"/>
            </w14:solidFill>
          </w14:textFill>
        </w:rPr>
        <w:t>中标通知书</w:t>
      </w:r>
      <w:r>
        <w:rPr>
          <w:rFonts w:hint="eastAsia" w:ascii="宋体" w:hAnsi="宋体" w:eastAsia="宋体" w:cs="宋体"/>
          <w:color w:val="000000" w:themeColor="text1"/>
          <w:szCs w:val="24"/>
          <w14:textFill>
            <w14:solidFill>
              <w14:schemeClr w14:val="tx1"/>
            </w14:solidFill>
          </w14:textFill>
        </w:rPr>
        <w:t>发出之日起10个工作日</w:t>
      </w:r>
      <w:r>
        <w:rPr>
          <w:rFonts w:hint="eastAsia" w:ascii="宋体" w:hAnsi="宋体" w:eastAsia="宋体" w:cs="宋体"/>
          <w:color w:val="000000" w:themeColor="text1"/>
          <w:szCs w:val="24"/>
          <w:lang w:val="zh-CN"/>
          <w14:textFill>
            <w14:solidFill>
              <w14:schemeClr w14:val="tx1"/>
            </w14:solidFill>
          </w14:textFill>
        </w:rPr>
        <w:t>内，按照招标文件和中标人的投标文件订立书面合同。合同文本见</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三</w:t>
      </w:r>
      <w:r>
        <w:rPr>
          <w:rFonts w:hint="eastAsia" w:ascii="宋体" w:hAnsi="宋体" w:eastAsia="宋体" w:cs="宋体"/>
          <w:color w:val="000000" w:themeColor="text1"/>
          <w:szCs w:val="24"/>
          <w:lang w:val="zh-CN"/>
          <w14:textFill>
            <w14:solidFill>
              <w14:schemeClr w14:val="tx1"/>
            </w14:solidFill>
          </w14:textFill>
        </w:rPr>
        <w:t>章</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合同文本</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w:t>
      </w:r>
    </w:p>
    <w:p w14:paraId="4C3D31AD">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7.3.2 </w:t>
      </w:r>
      <w:r>
        <w:rPr>
          <w:rFonts w:hint="eastAsia" w:ascii="宋体" w:hAnsi="宋体" w:eastAsia="宋体" w:cs="宋体"/>
          <w:color w:val="000000" w:themeColor="text1"/>
          <w:szCs w:val="24"/>
          <w:lang w:val="zh-CN"/>
          <w14:textFill>
            <w14:solidFill>
              <w14:schemeClr w14:val="tx1"/>
            </w14:solidFill>
          </w14:textFill>
        </w:rPr>
        <w:t>中标人如不按本投标须知规定与招标人订立合同，则</w:t>
      </w:r>
      <w:r>
        <w:rPr>
          <w:rFonts w:hint="eastAsia" w:ascii="宋体" w:hAnsi="宋体" w:eastAsia="宋体" w:cs="宋体"/>
          <w:color w:val="000000" w:themeColor="text1"/>
          <w:szCs w:val="24"/>
          <w14:textFill>
            <w14:solidFill>
              <w14:schemeClr w14:val="tx1"/>
            </w14:solidFill>
          </w14:textFill>
        </w:rPr>
        <w:t>招标人或招标人指定的第三人</w:t>
      </w:r>
      <w:r>
        <w:rPr>
          <w:rFonts w:hint="eastAsia" w:ascii="宋体" w:hAnsi="宋体" w:eastAsia="宋体" w:cs="宋体"/>
          <w:color w:val="000000" w:themeColor="text1"/>
          <w:szCs w:val="24"/>
          <w:lang w:val="zh-CN"/>
          <w14:textFill>
            <w14:solidFill>
              <w14:schemeClr w14:val="tx1"/>
            </w14:solidFill>
          </w14:textFill>
        </w:rPr>
        <w:t>将废除授标，同时依法承担相应法律责任。</w:t>
      </w:r>
    </w:p>
    <w:p w14:paraId="62A7A79E">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7.3.3 </w:t>
      </w:r>
      <w:r>
        <w:rPr>
          <w:rFonts w:hint="eastAsia" w:ascii="宋体" w:hAnsi="宋体" w:eastAsia="宋体" w:cs="宋体"/>
          <w:color w:val="000000" w:themeColor="text1"/>
          <w:szCs w:val="24"/>
          <w:lang w:val="zh-CN"/>
          <w14:textFill>
            <w14:solidFill>
              <w14:schemeClr w14:val="tx1"/>
            </w14:solidFill>
          </w14:textFill>
        </w:rPr>
        <w:t>中标人应当按照合同约定履行义务，完成中标项目</w:t>
      </w:r>
      <w:r>
        <w:rPr>
          <w:rFonts w:hint="eastAsia" w:ascii="宋体" w:hAnsi="宋体" w:eastAsia="宋体" w:cs="宋体"/>
          <w:color w:val="000000" w:themeColor="text1"/>
          <w:szCs w:val="24"/>
          <w14:textFill>
            <w14:solidFill>
              <w14:schemeClr w14:val="tx1"/>
            </w14:solidFill>
          </w14:textFill>
        </w:rPr>
        <w:t>服务</w:t>
      </w:r>
      <w:r>
        <w:rPr>
          <w:rFonts w:hint="eastAsia" w:ascii="宋体" w:hAnsi="宋体" w:eastAsia="宋体" w:cs="宋体"/>
          <w:color w:val="000000" w:themeColor="text1"/>
          <w:szCs w:val="24"/>
          <w:lang w:val="zh-CN"/>
          <w14:textFill>
            <w14:solidFill>
              <w14:schemeClr w14:val="tx1"/>
            </w14:solidFill>
          </w14:textFill>
        </w:rPr>
        <w:t>，不得将中标项目</w:t>
      </w:r>
      <w:r>
        <w:rPr>
          <w:rFonts w:hint="eastAsia" w:ascii="宋体" w:hAnsi="宋体" w:eastAsia="宋体" w:cs="宋体"/>
          <w:color w:val="000000" w:themeColor="text1"/>
          <w:szCs w:val="24"/>
          <w14:textFill>
            <w14:solidFill>
              <w14:schemeClr w14:val="tx1"/>
            </w14:solidFill>
          </w14:textFill>
        </w:rPr>
        <w:t>服务</w:t>
      </w:r>
      <w:r>
        <w:rPr>
          <w:rFonts w:hint="eastAsia" w:ascii="宋体" w:hAnsi="宋体" w:eastAsia="宋体" w:cs="宋体"/>
          <w:color w:val="000000" w:themeColor="text1"/>
          <w:szCs w:val="24"/>
          <w:lang w:val="zh-CN"/>
          <w14:textFill>
            <w14:solidFill>
              <w14:schemeClr w14:val="tx1"/>
            </w14:solidFill>
          </w14:textFill>
        </w:rPr>
        <w:t>转包、</w:t>
      </w:r>
      <w:r>
        <w:rPr>
          <w:rFonts w:hint="eastAsia" w:ascii="宋体" w:hAnsi="宋体" w:eastAsia="宋体" w:cs="宋体"/>
          <w:color w:val="000000" w:themeColor="text1"/>
          <w:szCs w:val="24"/>
          <w14:textFill>
            <w14:solidFill>
              <w14:schemeClr w14:val="tx1"/>
            </w14:solidFill>
          </w14:textFill>
        </w:rPr>
        <w:t>分包</w:t>
      </w:r>
      <w:r>
        <w:rPr>
          <w:rFonts w:hint="eastAsia" w:ascii="宋体" w:hAnsi="宋体" w:eastAsia="宋体" w:cs="宋体"/>
          <w:color w:val="000000" w:themeColor="text1"/>
          <w:szCs w:val="24"/>
          <w:lang w:val="zh-CN"/>
          <w14:textFill>
            <w14:solidFill>
              <w14:schemeClr w14:val="tx1"/>
            </w14:solidFill>
          </w14:textFill>
        </w:rPr>
        <w:t>给他人。</w:t>
      </w:r>
    </w:p>
    <w:p w14:paraId="54D63635">
      <w:pPr>
        <w:rPr>
          <w:rFonts w:hint="eastAsia" w:ascii="宋体" w:hAnsi="宋体" w:eastAsia="宋体" w:cs="宋体"/>
          <w:color w:val="000000" w:themeColor="text1"/>
          <w14:textFill>
            <w14:solidFill>
              <w14:schemeClr w14:val="tx1"/>
            </w14:solidFill>
          </w14:textFill>
        </w:rPr>
      </w:pPr>
    </w:p>
    <w:p w14:paraId="38EA78FA">
      <w:pPr>
        <w:pStyle w:val="5"/>
        <w:spacing w:before="240" w:beforeLines="100" w:after="240" w:afterLines="100" w:line="360" w:lineRule="auto"/>
        <w:rPr>
          <w:rFonts w:hint="eastAsia" w:ascii="宋体" w:hAnsi="宋体" w:cs="宋体"/>
          <w:color w:val="000000" w:themeColor="text1"/>
          <w:sz w:val="24"/>
          <w:szCs w:val="24"/>
          <w14:textFill>
            <w14:solidFill>
              <w14:schemeClr w14:val="tx1"/>
            </w14:solidFill>
          </w14:textFill>
        </w:rPr>
      </w:pPr>
      <w:bookmarkStart w:id="280" w:name="_Toc296602461"/>
      <w:bookmarkStart w:id="281" w:name="_Toc19151"/>
      <w:bookmarkStart w:id="282" w:name="_Toc136173604"/>
      <w:r>
        <w:rPr>
          <w:rFonts w:hint="eastAsia" w:ascii="宋体" w:hAnsi="宋体" w:cs="宋体"/>
          <w:color w:val="000000" w:themeColor="text1"/>
          <w:sz w:val="24"/>
          <w:szCs w:val="24"/>
          <w14:textFill>
            <w14:solidFill>
              <w14:schemeClr w14:val="tx1"/>
            </w14:solidFill>
          </w14:textFill>
        </w:rPr>
        <w:t>8. 纪律和监督</w:t>
      </w:r>
      <w:bookmarkEnd w:id="280"/>
      <w:bookmarkEnd w:id="281"/>
      <w:bookmarkEnd w:id="282"/>
    </w:p>
    <w:p w14:paraId="162FF3FA">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83" w:name="_Toc246996962"/>
      <w:bookmarkStart w:id="284" w:name="_Toc246996219"/>
      <w:bookmarkStart w:id="285" w:name="_Toc247085733"/>
      <w:bookmarkStart w:id="286" w:name="_Toc152042351"/>
      <w:bookmarkStart w:id="287" w:name="_Toc179632593"/>
      <w:bookmarkStart w:id="288" w:name="_Toc144974543"/>
      <w:bookmarkStart w:id="289" w:name="_Toc296590983"/>
      <w:bookmarkStart w:id="290" w:name="_Toc296602462"/>
      <w:bookmarkStart w:id="291" w:name="_Toc20718"/>
      <w:bookmarkStart w:id="292" w:name="_Toc152045575"/>
      <w:bookmarkStart w:id="293" w:name="_Toc136173605"/>
      <w:r>
        <w:rPr>
          <w:rFonts w:hint="eastAsia" w:ascii="宋体" w:hAnsi="宋体" w:eastAsia="宋体" w:cs="宋体"/>
          <w:b/>
          <w:bCs/>
          <w:color w:val="000000" w:themeColor="text1"/>
          <w:szCs w:val="24"/>
          <w14:textFill>
            <w14:solidFill>
              <w14:schemeClr w14:val="tx1"/>
            </w14:solidFill>
          </w14:textFill>
        </w:rPr>
        <w:t>8.1 对招标人的纪律要求</w:t>
      </w:r>
      <w:bookmarkEnd w:id="283"/>
      <w:bookmarkEnd w:id="284"/>
      <w:bookmarkEnd w:id="285"/>
      <w:bookmarkEnd w:id="286"/>
      <w:bookmarkEnd w:id="287"/>
      <w:bookmarkEnd w:id="288"/>
      <w:bookmarkEnd w:id="289"/>
      <w:bookmarkEnd w:id="290"/>
      <w:bookmarkEnd w:id="291"/>
      <w:bookmarkEnd w:id="292"/>
      <w:bookmarkEnd w:id="293"/>
    </w:p>
    <w:p w14:paraId="48AF798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招标人不得泄漏招标投标活动中应当保密的情况和资料，不得与投标人串通损害国家利益、社会公共利益或者他人合法权益。</w:t>
      </w:r>
    </w:p>
    <w:p w14:paraId="0ED6740F">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94" w:name="_Toc246996220"/>
      <w:bookmarkStart w:id="295" w:name="_Toc144974544"/>
      <w:bookmarkStart w:id="296" w:name="_Toc179632594"/>
      <w:bookmarkStart w:id="297" w:name="_Toc296602463"/>
      <w:bookmarkStart w:id="298" w:name="_Toc247085734"/>
      <w:bookmarkStart w:id="299" w:name="_Toc136173606"/>
      <w:bookmarkStart w:id="300" w:name="_Toc662"/>
      <w:bookmarkStart w:id="301" w:name="_Toc246996963"/>
      <w:bookmarkStart w:id="302" w:name="_Toc152042352"/>
      <w:bookmarkStart w:id="303" w:name="_Toc152045576"/>
      <w:r>
        <w:rPr>
          <w:rFonts w:hint="eastAsia" w:ascii="宋体" w:hAnsi="宋体" w:eastAsia="宋体" w:cs="宋体"/>
          <w:b/>
          <w:bCs/>
          <w:color w:val="000000" w:themeColor="text1"/>
          <w:szCs w:val="24"/>
          <w14:textFill>
            <w14:solidFill>
              <w14:schemeClr w14:val="tx1"/>
            </w14:solidFill>
          </w14:textFill>
        </w:rPr>
        <w:t>8.2 对投标人的纪律要求</w:t>
      </w:r>
      <w:bookmarkEnd w:id="294"/>
      <w:bookmarkEnd w:id="295"/>
      <w:bookmarkEnd w:id="296"/>
      <w:bookmarkEnd w:id="297"/>
      <w:bookmarkEnd w:id="298"/>
      <w:bookmarkEnd w:id="299"/>
      <w:bookmarkEnd w:id="300"/>
      <w:bookmarkEnd w:id="301"/>
      <w:bookmarkEnd w:id="302"/>
      <w:bookmarkEnd w:id="303"/>
    </w:p>
    <w:p w14:paraId="542F1D8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E8C4864">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304" w:name="_Toc179632595"/>
      <w:bookmarkStart w:id="305" w:name="_Toc8703"/>
      <w:bookmarkStart w:id="306" w:name="_Toc152042353"/>
      <w:bookmarkStart w:id="307" w:name="_Toc296602464"/>
      <w:bookmarkStart w:id="308" w:name="_Toc246996964"/>
      <w:bookmarkStart w:id="309" w:name="_Toc144974545"/>
      <w:bookmarkStart w:id="310" w:name="_Toc247085735"/>
      <w:bookmarkStart w:id="311" w:name="_Toc152045577"/>
      <w:bookmarkStart w:id="312" w:name="_Toc136173607"/>
      <w:bookmarkStart w:id="313" w:name="_Toc246996221"/>
      <w:r>
        <w:rPr>
          <w:rFonts w:hint="eastAsia" w:ascii="宋体" w:hAnsi="宋体" w:eastAsia="宋体" w:cs="宋体"/>
          <w:b/>
          <w:bCs/>
          <w:color w:val="000000" w:themeColor="text1"/>
          <w:szCs w:val="24"/>
          <w14:textFill>
            <w14:solidFill>
              <w14:schemeClr w14:val="tx1"/>
            </w14:solidFill>
          </w14:textFill>
        </w:rPr>
        <w:t>8.3 对评标委员会成员的纪律要求</w:t>
      </w:r>
      <w:bookmarkEnd w:id="304"/>
      <w:bookmarkEnd w:id="305"/>
      <w:bookmarkEnd w:id="306"/>
      <w:bookmarkEnd w:id="307"/>
      <w:bookmarkEnd w:id="308"/>
      <w:bookmarkEnd w:id="309"/>
      <w:bookmarkEnd w:id="310"/>
      <w:bookmarkEnd w:id="311"/>
      <w:bookmarkEnd w:id="312"/>
      <w:bookmarkEnd w:id="313"/>
    </w:p>
    <w:p w14:paraId="56C1EC5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68946812">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314" w:name="_Toc247085736"/>
      <w:bookmarkStart w:id="315" w:name="_Toc136173608"/>
      <w:bookmarkStart w:id="316" w:name="_Toc152042354"/>
      <w:bookmarkStart w:id="317" w:name="_Toc179632596"/>
      <w:bookmarkStart w:id="318" w:name="_Toc25942"/>
      <w:bookmarkStart w:id="319" w:name="_Toc296602465"/>
      <w:bookmarkStart w:id="320" w:name="_Toc246996965"/>
      <w:bookmarkStart w:id="321" w:name="_Toc152045578"/>
      <w:bookmarkStart w:id="322" w:name="_Toc246996222"/>
      <w:bookmarkStart w:id="323" w:name="_Toc144974546"/>
      <w:r>
        <w:rPr>
          <w:rFonts w:hint="eastAsia" w:ascii="宋体" w:hAnsi="宋体" w:eastAsia="宋体" w:cs="宋体"/>
          <w:b/>
          <w:bCs/>
          <w:color w:val="000000" w:themeColor="text1"/>
          <w:szCs w:val="24"/>
          <w14:textFill>
            <w14:solidFill>
              <w14:schemeClr w14:val="tx1"/>
            </w14:solidFill>
          </w14:textFill>
        </w:rPr>
        <w:t>8.4 对与评标活动有关的工作人员的纪律要求</w:t>
      </w:r>
      <w:bookmarkEnd w:id="314"/>
      <w:bookmarkEnd w:id="315"/>
      <w:bookmarkEnd w:id="316"/>
      <w:bookmarkEnd w:id="317"/>
      <w:bookmarkEnd w:id="318"/>
      <w:bookmarkEnd w:id="319"/>
      <w:bookmarkEnd w:id="320"/>
      <w:bookmarkEnd w:id="321"/>
      <w:bookmarkEnd w:id="322"/>
    </w:p>
    <w:p w14:paraId="206969A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bookmarkStart w:id="324" w:name="_Toc152042355"/>
      <w:r>
        <w:rPr>
          <w:rFonts w:hint="eastAsia" w:ascii="宋体" w:hAnsi="宋体" w:eastAsia="宋体" w:cs="宋体"/>
          <w:color w:val="000000" w:themeColor="text1"/>
          <w:szCs w:val="24"/>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324"/>
    </w:p>
    <w:p w14:paraId="07073A2F">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325" w:name="_Toc179632597"/>
      <w:bookmarkStart w:id="326" w:name="_Toc246996223"/>
      <w:bookmarkStart w:id="327" w:name="_Toc296602466"/>
      <w:bookmarkStart w:id="328" w:name="_Toc136173609"/>
      <w:bookmarkStart w:id="329" w:name="_Toc14991"/>
      <w:bookmarkStart w:id="330" w:name="_Toc152045579"/>
      <w:bookmarkStart w:id="331" w:name="_Toc246996966"/>
      <w:bookmarkStart w:id="332" w:name="_Toc152042356"/>
      <w:bookmarkStart w:id="333" w:name="_Toc247085737"/>
      <w:r>
        <w:rPr>
          <w:rFonts w:hint="eastAsia" w:ascii="宋体" w:hAnsi="宋体" w:eastAsia="宋体" w:cs="宋体"/>
          <w:b/>
          <w:bCs/>
          <w:color w:val="000000" w:themeColor="text1"/>
          <w:szCs w:val="24"/>
          <w14:textFill>
            <w14:solidFill>
              <w14:schemeClr w14:val="tx1"/>
            </w14:solidFill>
          </w14:textFill>
        </w:rPr>
        <w:t>8.5 投诉</w:t>
      </w:r>
      <w:bookmarkEnd w:id="323"/>
      <w:bookmarkEnd w:id="325"/>
      <w:bookmarkEnd w:id="326"/>
      <w:bookmarkEnd w:id="327"/>
      <w:bookmarkEnd w:id="328"/>
      <w:bookmarkEnd w:id="329"/>
      <w:bookmarkEnd w:id="330"/>
      <w:bookmarkEnd w:id="331"/>
      <w:bookmarkEnd w:id="332"/>
      <w:bookmarkEnd w:id="333"/>
    </w:p>
    <w:p w14:paraId="3B4FE2FC">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投标人和其他利害关系人认为本次招标活动违反法律、法规和规章规定的，有权向有关行政监督部门投诉。</w:t>
      </w:r>
    </w:p>
    <w:p w14:paraId="02C3A316">
      <w:pPr>
        <w:autoSpaceDE w:val="0"/>
        <w:autoSpaceDN w:val="0"/>
        <w:adjustRightInd w:val="0"/>
        <w:spacing w:line="360" w:lineRule="auto"/>
        <w:ind w:left="567"/>
        <w:jc w:val="left"/>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审计监察部 邹部长：18688776739， 总裁办杨雪：13728677556</w:t>
      </w:r>
    </w:p>
    <w:p w14:paraId="265425B0">
      <w:pPr>
        <w:autoSpaceDE w:val="0"/>
        <w:autoSpaceDN w:val="0"/>
        <w:adjustRightInd w:val="0"/>
        <w:spacing w:line="360" w:lineRule="auto"/>
        <w:ind w:left="567"/>
        <w:jc w:val="left"/>
        <w:rPr>
          <w:rFonts w:hint="eastAsia" w:ascii="宋体" w:hAnsi="宋体" w:eastAsia="宋体" w:cs="宋体"/>
          <w:color w:val="000000" w:themeColor="text1"/>
          <w:szCs w:val="24"/>
          <w14:textFill>
            <w14:solidFill>
              <w14:schemeClr w14:val="tx1"/>
            </w14:solidFill>
          </w14:textFill>
        </w:rPr>
      </w:pPr>
    </w:p>
    <w:p w14:paraId="0536883E">
      <w:pPr>
        <w:autoSpaceDE w:val="0"/>
        <w:autoSpaceDN w:val="0"/>
        <w:adjustRightInd w:val="0"/>
        <w:spacing w:before="120" w:beforeLines="50" w:after="120" w:afterLines="50"/>
        <w:ind w:left="567"/>
        <w:jc w:val="left"/>
        <w:rPr>
          <w:rFonts w:hint="eastAsia" w:ascii="宋体" w:hAnsi="宋体" w:eastAsia="宋体" w:cs="宋体"/>
          <w:color w:val="000000" w:themeColor="text1"/>
          <w:szCs w:val="24"/>
          <w14:textFill>
            <w14:solidFill>
              <w14:schemeClr w14:val="tx1"/>
            </w14:solidFill>
          </w14:textFill>
        </w:rPr>
      </w:pPr>
    </w:p>
    <w:p w14:paraId="18155897">
      <w:pPr>
        <w:pStyle w:val="4"/>
        <w:spacing w:before="120" w:beforeLines="50" w:after="120" w:afterLines="50"/>
        <w:ind w:left="1066"/>
        <w:rPr>
          <w:rFonts w:hint="eastAsia" w:ascii="宋体" w:hAnsi="宋体" w:eastAsia="宋体" w:cs="宋体"/>
          <w:color w:val="000000" w:themeColor="text1"/>
          <w:sz w:val="32"/>
          <w:szCs w:val="32"/>
          <w14:textFill>
            <w14:solidFill>
              <w14:schemeClr w14:val="tx1"/>
            </w14:solidFill>
          </w14:textFill>
        </w:rPr>
      </w:pPr>
      <w:bookmarkStart w:id="334" w:name="_Toc4437"/>
      <w:bookmarkStart w:id="335" w:name="_Toc136173610"/>
      <w:r>
        <w:rPr>
          <w:rFonts w:hint="eastAsia" w:ascii="宋体" w:hAnsi="宋体" w:eastAsia="宋体" w:cs="宋体"/>
          <w:color w:val="000000" w:themeColor="text1"/>
          <w:sz w:val="32"/>
          <w:szCs w:val="32"/>
          <w14:textFill>
            <w14:solidFill>
              <w14:schemeClr w14:val="tx1"/>
            </w14:solidFill>
          </w14:textFill>
        </w:rPr>
        <w:t>第三章 评标办法（综合评估法）</w:t>
      </w:r>
      <w:bookmarkEnd w:id="334"/>
      <w:bookmarkEnd w:id="335"/>
    </w:p>
    <w:p w14:paraId="05F456D3">
      <w:pPr>
        <w:spacing w:before="120" w:beforeLines="50" w:after="120" w:afterLines="50" w:line="360" w:lineRule="auto"/>
        <w:outlineLvl w:val="1"/>
        <w:rPr>
          <w:rFonts w:hint="eastAsia" w:ascii="宋体" w:hAnsi="宋体" w:eastAsia="宋体" w:cs="宋体"/>
          <w:b/>
          <w:color w:val="000000" w:themeColor="text1"/>
          <w:szCs w:val="24"/>
          <w14:textFill>
            <w14:solidFill>
              <w14:schemeClr w14:val="tx1"/>
            </w14:solidFill>
          </w14:textFill>
        </w:rPr>
      </w:pPr>
      <w:bookmarkStart w:id="336" w:name="_Toc136173611"/>
      <w:bookmarkStart w:id="337" w:name="_Toc11549"/>
      <w:r>
        <w:rPr>
          <w:rFonts w:hint="eastAsia" w:ascii="宋体" w:hAnsi="宋体" w:eastAsia="宋体" w:cs="宋体"/>
          <w:b/>
          <w:color w:val="000000" w:themeColor="text1"/>
          <w:szCs w:val="24"/>
          <w14:textFill>
            <w14:solidFill>
              <w14:schemeClr w14:val="tx1"/>
            </w14:solidFill>
          </w14:textFill>
        </w:rPr>
        <w:t>1.评标方法</w:t>
      </w:r>
      <w:bookmarkEnd w:id="336"/>
      <w:bookmarkEnd w:id="337"/>
    </w:p>
    <w:p w14:paraId="09B39873">
      <w:pPr>
        <w:spacing w:before="50" w:after="50"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49EC254E">
      <w:pPr>
        <w:spacing w:before="120" w:beforeLines="50" w:after="120" w:afterLines="50" w:line="360" w:lineRule="auto"/>
        <w:outlineLvl w:val="1"/>
        <w:rPr>
          <w:rFonts w:hint="eastAsia" w:ascii="宋体" w:hAnsi="宋体" w:eastAsia="宋体" w:cs="宋体"/>
          <w:b/>
          <w:color w:val="000000" w:themeColor="text1"/>
          <w:szCs w:val="24"/>
          <w14:textFill>
            <w14:solidFill>
              <w14:schemeClr w14:val="tx1"/>
            </w14:solidFill>
          </w14:textFill>
        </w:rPr>
      </w:pPr>
      <w:bookmarkStart w:id="338" w:name="_Toc20265"/>
      <w:bookmarkStart w:id="339" w:name="_Toc136173612"/>
      <w:r>
        <w:rPr>
          <w:rFonts w:hint="eastAsia" w:ascii="宋体" w:hAnsi="宋体" w:eastAsia="宋体" w:cs="宋体"/>
          <w:b/>
          <w:color w:val="000000" w:themeColor="text1"/>
          <w:szCs w:val="24"/>
          <w14:textFill>
            <w14:solidFill>
              <w14:schemeClr w14:val="tx1"/>
            </w14:solidFill>
          </w14:textFill>
        </w:rPr>
        <w:t>2.投标文件的初审和响应性的规定</w:t>
      </w:r>
      <w:bookmarkEnd w:id="338"/>
      <w:bookmarkEnd w:id="339"/>
    </w:p>
    <w:p w14:paraId="035FFDA7">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 开标后，评标委员会将审查投标人是否符合合格投标人的资格；投标文件是否完整；是否有计算错误；</w:t>
      </w:r>
      <w:r>
        <w:rPr>
          <w:rFonts w:hint="eastAsia" w:ascii="宋体" w:hAnsi="宋体" w:eastAsia="宋体" w:cs="宋体"/>
          <w:color w:val="000000" w:themeColor="text1"/>
          <w:szCs w:val="24"/>
          <w14:textFill>
            <w14:solidFill>
              <w14:schemeClr w14:val="tx1"/>
            </w14:solidFill>
          </w14:textFill>
        </w:rPr>
        <w:t>投标</w:t>
      </w:r>
      <w:r>
        <w:rPr>
          <w:rFonts w:hint="eastAsia" w:ascii="宋体" w:hAnsi="宋体" w:eastAsia="宋体" w:cs="宋体"/>
          <w:color w:val="000000" w:themeColor="text1"/>
          <w:szCs w:val="24"/>
          <w:lang w:val="zh-CN"/>
          <w14:textFill>
            <w14:solidFill>
              <w14:schemeClr w14:val="tx1"/>
            </w14:solidFill>
          </w14:textFill>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14929AC1">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5747A299">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.3 重大偏离或保留系指影响到招标文件规定的</w:t>
      </w:r>
      <w:r>
        <w:rPr>
          <w:rFonts w:hint="eastAsia" w:ascii="宋体" w:hAnsi="宋体" w:eastAsia="宋体" w:cs="宋体"/>
          <w:color w:val="000000" w:themeColor="text1"/>
          <w:szCs w:val="24"/>
          <w14:textFill>
            <w14:solidFill>
              <w14:schemeClr w14:val="tx1"/>
            </w14:solidFill>
          </w14:textFill>
        </w:rPr>
        <w:t>服务</w:t>
      </w:r>
      <w:r>
        <w:rPr>
          <w:rFonts w:hint="eastAsia" w:ascii="宋体" w:hAnsi="宋体" w:eastAsia="宋体" w:cs="宋体"/>
          <w:color w:val="000000" w:themeColor="text1"/>
          <w:szCs w:val="24"/>
          <w:lang w:val="zh-CN"/>
          <w14:textFill>
            <w14:solidFill>
              <w14:schemeClr w14:val="tx1"/>
            </w14:solidFill>
          </w14:textFill>
        </w:rPr>
        <w:t>范围、质量和性能或限制了招标人的权力和投标人的义务，而纠正这些偏离将影响到其他提交实质性响应投标的投标人公平竞争地位。</w:t>
      </w:r>
    </w:p>
    <w:p w14:paraId="7235A22B">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 xml:space="preserve">招标人有权拒绝被确定为非实质性响应的投标，投标人不能通过修正或撤销不符之处而使其投标成为实质性响应的投标。   </w:t>
      </w:r>
    </w:p>
    <w:p w14:paraId="0E9B3C9E">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5 </w:t>
      </w:r>
      <w:r>
        <w:rPr>
          <w:rFonts w:hint="eastAsia" w:ascii="宋体" w:hAnsi="宋体" w:eastAsia="宋体" w:cs="宋体"/>
          <w:color w:val="000000" w:themeColor="text1"/>
          <w:szCs w:val="24"/>
          <w:lang w:val="zh-CN"/>
          <w14:textFill>
            <w14:solidFill>
              <w14:schemeClr w14:val="tx1"/>
            </w14:solidFill>
          </w14:textFill>
        </w:rPr>
        <w:t>评标委员会将对下表所列各项进行审查，所有项目均须满足要求，如有任意一项或以上不满足要求，则初步审查不通过。</w:t>
      </w:r>
    </w:p>
    <w:p w14:paraId="74712993">
      <w:pPr>
        <w:spacing w:before="120" w:line="460" w:lineRule="exact"/>
        <w:rPr>
          <w:rFonts w:hint="eastAsia" w:ascii="宋体" w:hAnsi="宋体" w:eastAsia="宋体" w:cs="宋体"/>
          <w:color w:val="000000" w:themeColor="text1"/>
          <w:szCs w:val="24"/>
          <w:lang w:val="zh-CN"/>
          <w14:textFill>
            <w14:solidFill>
              <w14:schemeClr w14:val="tx1"/>
            </w14:solidFill>
          </w14:textFill>
        </w:rPr>
      </w:pPr>
    </w:p>
    <w:p w14:paraId="3454E4BD">
      <w:pPr>
        <w:spacing w:before="120" w:line="460" w:lineRule="exact"/>
        <w:rPr>
          <w:rFonts w:hint="eastAsia" w:ascii="宋体" w:hAnsi="宋体" w:eastAsia="宋体" w:cs="宋体"/>
          <w:color w:val="000000" w:themeColor="text1"/>
          <w:szCs w:val="24"/>
          <w:lang w:val="zh-CN"/>
          <w14:textFill>
            <w14:solidFill>
              <w14:schemeClr w14:val="tx1"/>
            </w14:solidFill>
          </w14:textFill>
        </w:rPr>
      </w:pPr>
    </w:p>
    <w:p w14:paraId="37D7F5B6">
      <w:pPr>
        <w:spacing w:before="120" w:line="460" w:lineRule="exact"/>
        <w:rPr>
          <w:rFonts w:hint="eastAsia" w:ascii="宋体" w:hAnsi="宋体" w:eastAsia="宋体" w:cs="宋体"/>
          <w:color w:val="000000" w:themeColor="text1"/>
          <w:szCs w:val="24"/>
          <w:lang w:val="zh-CN"/>
          <w14:textFill>
            <w14:solidFill>
              <w14:schemeClr w14:val="tx1"/>
            </w14:solidFill>
          </w14:textFill>
        </w:rPr>
      </w:pPr>
    </w:p>
    <w:p w14:paraId="72FA12CB">
      <w:pPr>
        <w:pStyle w:val="3"/>
        <w:rPr>
          <w:rFonts w:hint="eastAsia" w:cs="宋体"/>
          <w:b/>
          <w:color w:val="000000" w:themeColor="text1"/>
          <w:szCs w:val="24"/>
          <w14:textFill>
            <w14:solidFill>
              <w14:schemeClr w14:val="tx1"/>
            </w14:solidFill>
          </w14:textFill>
        </w:rPr>
        <w:sectPr>
          <w:pgSz w:w="11907" w:h="16840"/>
          <w:pgMar w:top="1247" w:right="1361" w:bottom="1247" w:left="1361" w:header="720" w:footer="720" w:gutter="0"/>
          <w:cols w:space="720" w:num="1"/>
          <w:docGrid w:linePitch="286" w:charSpace="0"/>
        </w:sectPr>
      </w:pPr>
    </w:p>
    <w:p w14:paraId="7EAFE11D">
      <w:pPr>
        <w:spacing w:before="120" w:beforeLines="50" w:after="120" w:afterLines="50" w:line="360" w:lineRule="auto"/>
        <w:outlineLvl w:val="1"/>
        <w:rPr>
          <w:rFonts w:hint="eastAsia" w:ascii="宋体" w:hAnsi="宋体" w:eastAsia="宋体" w:cs="宋体"/>
          <w:b/>
          <w:color w:val="000000" w:themeColor="text1"/>
          <w:szCs w:val="24"/>
          <w14:textFill>
            <w14:solidFill>
              <w14:schemeClr w14:val="tx1"/>
            </w14:solidFill>
          </w14:textFill>
        </w:rPr>
      </w:pPr>
      <w:bookmarkStart w:id="340" w:name="_Toc136173613"/>
      <w:bookmarkStart w:id="341" w:name="_Toc18380"/>
      <w:r>
        <w:rPr>
          <w:rFonts w:hint="eastAsia" w:ascii="宋体" w:hAnsi="宋体" w:eastAsia="宋体" w:cs="宋体"/>
          <w:b/>
          <w:color w:val="000000" w:themeColor="text1"/>
          <w:szCs w:val="24"/>
          <w14:textFill>
            <w14:solidFill>
              <w14:schemeClr w14:val="tx1"/>
            </w14:solidFill>
          </w14:textFill>
        </w:rPr>
        <w:t>3.初步评审</w:t>
      </w:r>
      <w:bookmarkEnd w:id="340"/>
      <w:bookmarkEnd w:id="341"/>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18B9B8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3C5C20FA">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序号</w:t>
            </w:r>
          </w:p>
        </w:tc>
        <w:tc>
          <w:tcPr>
            <w:tcW w:w="2446" w:type="dxa"/>
            <w:tcBorders>
              <w:tl2br w:val="nil"/>
              <w:tr2bl w:val="nil"/>
            </w:tcBorders>
            <w:vAlign w:val="center"/>
          </w:tcPr>
          <w:p w14:paraId="3569F202">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审查项目</w:t>
            </w:r>
          </w:p>
        </w:tc>
        <w:tc>
          <w:tcPr>
            <w:tcW w:w="5443" w:type="dxa"/>
            <w:tcBorders>
              <w:tl2br w:val="nil"/>
              <w:tr2bl w:val="nil"/>
            </w:tcBorders>
            <w:vAlign w:val="center"/>
          </w:tcPr>
          <w:p w14:paraId="3C7612BD">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要  求</w:t>
            </w:r>
          </w:p>
        </w:tc>
      </w:tr>
      <w:tr w14:paraId="51F75B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27EB9A8D">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符合性审查</w:t>
            </w:r>
          </w:p>
        </w:tc>
        <w:tc>
          <w:tcPr>
            <w:tcW w:w="2446" w:type="dxa"/>
            <w:tcBorders>
              <w:tl2br w:val="nil"/>
              <w:tr2bl w:val="nil"/>
            </w:tcBorders>
            <w:vAlign w:val="center"/>
          </w:tcPr>
          <w:p w14:paraId="1494EC51">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投标文件有效性</w:t>
            </w:r>
          </w:p>
        </w:tc>
        <w:tc>
          <w:tcPr>
            <w:tcW w:w="5443" w:type="dxa"/>
            <w:tcBorders>
              <w:tl2br w:val="nil"/>
              <w:tr2bl w:val="nil"/>
            </w:tcBorders>
            <w:vAlign w:val="center"/>
          </w:tcPr>
          <w:p w14:paraId="303A91C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投标文件的签字、盖章是否有效</w:t>
            </w:r>
          </w:p>
        </w:tc>
      </w:tr>
      <w:tr w14:paraId="497BAD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197F3AE3">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4102DF12">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443" w:type="dxa"/>
            <w:tcBorders>
              <w:tl2br w:val="nil"/>
              <w:tr2bl w:val="nil"/>
            </w:tcBorders>
            <w:vAlign w:val="center"/>
          </w:tcPr>
          <w:p w14:paraId="26348FC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是否符合标书规定</w:t>
            </w:r>
          </w:p>
        </w:tc>
      </w:tr>
      <w:tr w14:paraId="543D3C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28B2CE7D">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资格审查</w:t>
            </w:r>
          </w:p>
        </w:tc>
        <w:tc>
          <w:tcPr>
            <w:tcW w:w="2446" w:type="dxa"/>
            <w:tcBorders>
              <w:tl2br w:val="nil"/>
              <w:tr2bl w:val="nil"/>
            </w:tcBorders>
            <w:vAlign w:val="center"/>
          </w:tcPr>
          <w:p w14:paraId="6EA86182">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法人授权委托书（原件）</w:t>
            </w:r>
          </w:p>
        </w:tc>
        <w:tc>
          <w:tcPr>
            <w:tcW w:w="5443" w:type="dxa"/>
            <w:tcBorders>
              <w:tl2br w:val="nil"/>
              <w:tr2bl w:val="nil"/>
            </w:tcBorders>
            <w:vAlign w:val="center"/>
          </w:tcPr>
          <w:p w14:paraId="4CB198B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是否提交，盖章、签字是否有效</w:t>
            </w:r>
          </w:p>
        </w:tc>
      </w:tr>
      <w:tr w14:paraId="4A8785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4C40997D">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654D3FFA">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投标人营业执照</w:t>
            </w:r>
          </w:p>
          <w:p w14:paraId="5F9C456A">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（副本，原件备查）</w:t>
            </w:r>
          </w:p>
        </w:tc>
        <w:tc>
          <w:tcPr>
            <w:tcW w:w="5443" w:type="dxa"/>
            <w:tcBorders>
              <w:tl2br w:val="nil"/>
              <w:tr2bl w:val="nil"/>
            </w:tcBorders>
            <w:vAlign w:val="center"/>
          </w:tcPr>
          <w:p w14:paraId="091FED6B">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w:t>
            </w:r>
            <w:r>
              <w:rPr>
                <w:rFonts w:hint="eastAsia" w:ascii="宋体" w:hAnsi="宋体" w:eastAsia="宋体" w:cs="宋体"/>
                <w:color w:val="000000" w:themeColor="text1"/>
                <w:sz w:val="21"/>
                <w:szCs w:val="21"/>
                <w14:textFill>
                  <w14:solidFill>
                    <w14:schemeClr w14:val="tx1"/>
                  </w14:solidFill>
                </w14:textFill>
              </w:rPr>
              <w:t>人</w:t>
            </w:r>
            <w:r>
              <w:rPr>
                <w:rFonts w:hint="eastAsia" w:ascii="宋体" w:hAnsi="宋体" w:eastAsia="宋体" w:cs="宋体"/>
                <w:color w:val="000000" w:themeColor="text1"/>
                <w:sz w:val="21"/>
                <w:szCs w:val="21"/>
                <w:lang w:val="zh-CN"/>
                <w14:textFill>
                  <w14:solidFill>
                    <w14:schemeClr w14:val="tx1"/>
                  </w14:solidFill>
                </w14:textFill>
              </w:rPr>
              <w:t>为在中华人民共和国依法注册具有独立法人资格、具备独立签订和履行合同能力的企业。</w:t>
            </w:r>
          </w:p>
          <w:p w14:paraId="28E3E9A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提供有效的营业执照复印件加盖投标人公章。</w:t>
            </w:r>
          </w:p>
        </w:tc>
      </w:tr>
      <w:tr w14:paraId="559F97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4C2ADD1F">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371D54A">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财务报告</w:t>
            </w:r>
          </w:p>
        </w:tc>
        <w:tc>
          <w:tcPr>
            <w:tcW w:w="5443" w:type="dxa"/>
            <w:tcBorders>
              <w:tl2br w:val="nil"/>
              <w:tr2bl w:val="nil"/>
            </w:tcBorders>
            <w:vAlign w:val="center"/>
          </w:tcPr>
          <w:p w14:paraId="6110485B">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w:t>
            </w:r>
            <w:r>
              <w:rPr>
                <w:rFonts w:hint="eastAsia" w:ascii="宋体" w:hAnsi="宋体" w:eastAsia="宋体" w:cs="宋体"/>
                <w:color w:val="000000" w:themeColor="text1"/>
                <w:sz w:val="21"/>
                <w:szCs w:val="21"/>
                <w14:textFill>
                  <w14:solidFill>
                    <w14:schemeClr w14:val="tx1"/>
                  </w14:solidFill>
                </w14:textFill>
              </w:rPr>
              <w:t>人拥有</w:t>
            </w:r>
            <w:r>
              <w:rPr>
                <w:rFonts w:hint="eastAsia" w:ascii="宋体" w:hAnsi="宋体" w:eastAsia="宋体" w:cs="宋体"/>
                <w:color w:val="000000" w:themeColor="text1"/>
                <w:sz w:val="21"/>
                <w:szCs w:val="21"/>
                <w:lang w:val="zh-CN"/>
                <w14:textFill>
                  <w14:solidFill>
                    <w14:schemeClr w14:val="tx1"/>
                  </w14:solidFill>
                </w14:textFill>
              </w:rPr>
              <w:t>健全的财务会计制度。</w:t>
            </w:r>
          </w:p>
          <w:p w14:paraId="48B4A80B">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提供近三年的经审计的财务报告复印件并加盖投标人公章。</w:t>
            </w:r>
          </w:p>
        </w:tc>
      </w:tr>
      <w:tr w14:paraId="30CC80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668F32DE">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1E9F4C9C">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投标人资质（副本，原件备查）</w:t>
            </w:r>
          </w:p>
        </w:tc>
        <w:tc>
          <w:tcPr>
            <w:tcW w:w="5443" w:type="dxa"/>
            <w:tcBorders>
              <w:tl2br w:val="nil"/>
              <w:tr2bl w:val="nil"/>
            </w:tcBorders>
            <w:vAlign w:val="center"/>
          </w:tcPr>
          <w:p w14:paraId="604ACDF8">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有相关服务的业绩等。</w:t>
            </w:r>
          </w:p>
        </w:tc>
      </w:tr>
      <w:tr w14:paraId="4AACF4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30578932">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9370D0C">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项目经理资质</w:t>
            </w:r>
          </w:p>
        </w:tc>
        <w:tc>
          <w:tcPr>
            <w:tcW w:w="5443" w:type="dxa"/>
            <w:tcBorders>
              <w:tl2br w:val="nil"/>
              <w:tr2bl w:val="nil"/>
            </w:tcBorders>
            <w:vAlign w:val="center"/>
          </w:tcPr>
          <w:p w14:paraId="3FFC3C95">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cs="Arial" w:asciiTheme="minorEastAsia" w:hAnsiTheme="minorEastAsia" w:eastAsiaTheme="minorEastAsia"/>
                <w:color w:val="FF0000"/>
                <w:sz w:val="21"/>
                <w:szCs w:val="21"/>
                <w:lang w:val="zh-CN"/>
              </w:rPr>
              <w:t>近三年内具有至少</w:t>
            </w:r>
            <w:r>
              <w:rPr>
                <w:rFonts w:hint="eastAsia" w:cs="Arial" w:asciiTheme="minorEastAsia" w:hAnsiTheme="minorEastAsia" w:eastAsiaTheme="minorEastAsia"/>
                <w:color w:val="FF0000"/>
                <w:sz w:val="21"/>
                <w:szCs w:val="21"/>
              </w:rPr>
              <w:t>1</w:t>
            </w:r>
            <w:r>
              <w:rPr>
                <w:rFonts w:cs="Arial" w:asciiTheme="minorEastAsia" w:hAnsiTheme="minorEastAsia" w:eastAsiaTheme="minorEastAsia"/>
                <w:color w:val="FF0000"/>
                <w:sz w:val="21"/>
                <w:szCs w:val="21"/>
                <w:lang w:val="zh-CN"/>
              </w:rPr>
              <w:t>个</w:t>
            </w:r>
            <w:r>
              <w:rPr>
                <w:rFonts w:hint="eastAsia" w:cs="Arial" w:asciiTheme="minorEastAsia" w:hAnsiTheme="minorEastAsia" w:eastAsiaTheme="minorEastAsia"/>
                <w:color w:val="FF0000"/>
                <w:sz w:val="21"/>
                <w:szCs w:val="21"/>
                <w:lang w:val="zh-CN"/>
              </w:rPr>
              <w:t>及</w:t>
            </w:r>
            <w:r>
              <w:rPr>
                <w:rFonts w:cs="Arial" w:asciiTheme="minorEastAsia" w:hAnsiTheme="minorEastAsia" w:eastAsiaTheme="minorEastAsia"/>
                <w:color w:val="FF0000"/>
                <w:sz w:val="21"/>
                <w:szCs w:val="21"/>
                <w:lang w:val="zh-CN"/>
              </w:rPr>
              <w:t>以上业绩</w:t>
            </w:r>
            <w:r>
              <w:rPr>
                <w:rFonts w:hint="eastAsia" w:cs="Arial" w:asciiTheme="minorEastAsia" w:hAnsiTheme="minorEastAsia" w:eastAsiaTheme="minorEastAsia"/>
                <w:color w:val="FF0000"/>
                <w:sz w:val="21"/>
                <w:szCs w:val="21"/>
                <w:lang w:val="zh-CN"/>
              </w:rPr>
              <w:t>项</w:t>
            </w:r>
            <w:r>
              <w:rPr>
                <w:rFonts w:cs="Arial" w:asciiTheme="minorEastAsia" w:hAnsiTheme="minorEastAsia" w:eastAsiaTheme="minorEastAsia"/>
                <w:color w:val="FF0000"/>
                <w:sz w:val="21"/>
                <w:szCs w:val="21"/>
                <w:lang w:val="zh-CN"/>
              </w:rPr>
              <w:t>目经</w:t>
            </w:r>
            <w:r>
              <w:rPr>
                <w:rFonts w:hint="eastAsia" w:cs="Arial" w:asciiTheme="minorEastAsia" w:hAnsiTheme="minorEastAsia" w:eastAsiaTheme="minorEastAsia"/>
                <w:color w:val="FF0000"/>
                <w:sz w:val="21"/>
                <w:szCs w:val="21"/>
                <w:lang w:val="zh-CN"/>
              </w:rPr>
              <w:t>验</w:t>
            </w:r>
            <w:r>
              <w:rPr>
                <w:rFonts w:hint="eastAsia" w:ascii="宋体" w:hAnsi="宋体" w:eastAsia="宋体" w:cs="宋体"/>
                <w:color w:val="FF0000"/>
                <w:sz w:val="21"/>
                <w:szCs w:val="21"/>
                <w:lang w:val="zh-CN"/>
              </w:rPr>
              <w:t>且在投标单位注册并缴纳社保（需要提供社保证明材料）。</w:t>
            </w:r>
          </w:p>
        </w:tc>
      </w:tr>
      <w:tr w14:paraId="6F06CC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683DD96E">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7CB31EC">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业绩（合同原件备查）</w:t>
            </w:r>
          </w:p>
        </w:tc>
        <w:tc>
          <w:tcPr>
            <w:tcW w:w="5443" w:type="dxa"/>
            <w:tcBorders>
              <w:tl2br w:val="nil"/>
              <w:tr2bl w:val="nil"/>
            </w:tcBorders>
            <w:vAlign w:val="center"/>
          </w:tcPr>
          <w:p w14:paraId="3946DFDC">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近5年内（自20</w:t>
            </w:r>
            <w:r>
              <w:rPr>
                <w:rFonts w:hint="eastAsia" w:ascii="宋体" w:hAnsi="宋体" w:eastAsia="宋体" w:cs="宋体"/>
                <w:color w:val="000000" w:themeColor="text1"/>
                <w:sz w:val="21"/>
                <w:szCs w:val="21"/>
                <w14:textFill>
                  <w14:solidFill>
                    <w14:schemeClr w14:val="tx1"/>
                  </w14:solidFill>
                </w14:textFill>
              </w:rPr>
              <w:t>21</w:t>
            </w:r>
            <w:r>
              <w:rPr>
                <w:rFonts w:hint="eastAsia" w:ascii="宋体" w:hAnsi="宋体" w:eastAsia="宋体" w:cs="宋体"/>
                <w:color w:val="000000" w:themeColor="text1"/>
                <w:sz w:val="21"/>
                <w:szCs w:val="21"/>
                <w:lang w:val="zh-CN"/>
                <w14:textFill>
                  <w14:solidFill>
                    <w14:schemeClr w14:val="tx1"/>
                  </w14:solidFill>
                </w14:textFill>
              </w:rPr>
              <w:t>年以来）至少</w:t>
            </w:r>
            <w:r>
              <w:rPr>
                <w:rFonts w:hint="eastAsia" w:ascii="宋体" w:hAnsi="宋体" w:eastAsia="宋体" w:cs="宋体"/>
                <w:color w:val="000000" w:themeColor="text1"/>
                <w:sz w:val="21"/>
                <w:szCs w:val="21"/>
                <w14:textFill>
                  <w14:solidFill>
                    <w14:schemeClr w14:val="tx1"/>
                  </w14:solidFill>
                </w14:textFill>
              </w:rPr>
              <w:t>有类似业绩1</w:t>
            </w:r>
            <w:r>
              <w:rPr>
                <w:rFonts w:hint="eastAsia" w:ascii="宋体" w:hAnsi="宋体" w:eastAsia="宋体" w:cs="宋体"/>
                <w:color w:val="000000" w:themeColor="text1"/>
                <w:sz w:val="21"/>
                <w:szCs w:val="21"/>
                <w:lang w:val="zh-CN"/>
                <w14:textFill>
                  <w14:solidFill>
                    <w14:schemeClr w14:val="tx1"/>
                  </w14:solidFill>
                </w14:textFill>
              </w:rPr>
              <w:t>个。</w:t>
            </w:r>
          </w:p>
        </w:tc>
      </w:tr>
      <w:tr w14:paraId="54EE5E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72DDFCDD">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493AA731">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商业信誉</w:t>
            </w:r>
          </w:p>
        </w:tc>
        <w:tc>
          <w:tcPr>
            <w:tcW w:w="5443" w:type="dxa"/>
            <w:tcBorders>
              <w:tl2br w:val="nil"/>
              <w:tr2bl w:val="nil"/>
            </w:tcBorders>
            <w:vAlign w:val="center"/>
          </w:tcPr>
          <w:p w14:paraId="6A2CD4D8">
            <w:pPr>
              <w:tabs>
                <w:tab w:val="left" w:pos="279"/>
                <w:tab w:val="left" w:pos="430"/>
              </w:tabs>
              <w:spacing w:line="360" w:lineRule="auto"/>
              <w:ind w:right="228" w:rightChars="9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投标人具有良好的银行资信和商业信誉，没有处于被责令停业或破产状态，且资产未被重组、接管和冻结，</w:t>
            </w:r>
            <w:r>
              <w:rPr>
                <w:rFonts w:hint="eastAsia" w:ascii="宋体" w:hAnsi="宋体" w:eastAsia="宋体" w:cs="宋体"/>
                <w:color w:val="000000" w:themeColor="text1"/>
                <w:sz w:val="21"/>
                <w:szCs w:val="21"/>
                <w14:textFill>
                  <w14:solidFill>
                    <w14:schemeClr w14:val="tx1"/>
                  </w14:solidFill>
                </w14:textFill>
              </w:rPr>
              <w:t>近三年以</w:t>
            </w:r>
            <w:r>
              <w:rPr>
                <w:rFonts w:hint="eastAsia" w:ascii="宋体" w:hAnsi="宋体" w:eastAsia="宋体" w:cs="宋体"/>
                <w:color w:val="000000" w:themeColor="text1"/>
                <w:sz w:val="21"/>
                <w:szCs w:val="21"/>
                <w:lang w:val="zh-CN"/>
                <w14:textFill>
                  <w14:solidFill>
                    <w14:schemeClr w14:val="tx1"/>
                  </w14:solidFill>
                </w14:textFill>
              </w:rPr>
              <w:t>来未发生因合同违约或发生重大设备质量问题而被投诉。提供企业承诺书原件</w:t>
            </w:r>
            <w:r>
              <w:rPr>
                <w:rFonts w:hint="eastAsia" w:ascii="宋体" w:hAnsi="宋体" w:eastAsia="宋体" w:cs="宋体"/>
                <w:color w:val="000000" w:themeColor="text1"/>
                <w:sz w:val="21"/>
                <w:szCs w:val="21"/>
                <w14:textFill>
                  <w14:solidFill>
                    <w14:schemeClr w14:val="tx1"/>
                  </w14:solidFill>
                </w14:textFill>
              </w:rPr>
              <w:t>；未</w:t>
            </w:r>
            <w:r>
              <w:rPr>
                <w:rFonts w:hint="eastAsia" w:ascii="宋体" w:hAnsi="宋体" w:eastAsia="宋体" w:cs="宋体"/>
                <w:color w:val="000000" w:themeColor="text1"/>
                <w:sz w:val="21"/>
                <w:szCs w:val="21"/>
                <w:lang w:val="zh-CN"/>
                <w14:textFill>
                  <w14:solidFill>
                    <w14:schemeClr w14:val="tx1"/>
                  </w14:solidFill>
                </w14:textFill>
              </w:rPr>
              <w:t>在</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zh-CN"/>
                <w14:textFill>
                  <w14:solidFill>
                    <w14:schemeClr w14:val="tx1"/>
                  </w14:solidFill>
                </w14:textFill>
              </w:rPr>
              <w:t>国家企业信用信息公示系统</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zh-CN"/>
                <w14:textFill>
                  <w14:solidFill>
                    <w14:schemeClr w14:val="tx1"/>
                  </w14:solidFill>
                </w14:textFill>
              </w:rPr>
              <w:t>网站</w:t>
            </w:r>
            <w:r>
              <w:rPr>
                <w:rFonts w:hint="eastAsia" w:ascii="宋体" w:hAnsi="宋体" w:eastAsia="宋体" w:cs="宋体"/>
                <w:color w:val="000000" w:themeColor="text1"/>
                <w:sz w:val="21"/>
                <w:szCs w:val="21"/>
                <w14:textFill>
                  <w14:solidFill>
                    <w14:schemeClr w14:val="tx1"/>
                  </w14:solidFill>
                </w14:textFill>
              </w:rPr>
              <w:t>（http://www.gsxt.gov.cn）</w:t>
            </w:r>
            <w:r>
              <w:rPr>
                <w:rFonts w:hint="eastAsia" w:ascii="宋体" w:hAnsi="宋体" w:eastAsia="宋体" w:cs="宋体"/>
                <w:color w:val="000000" w:themeColor="text1"/>
                <w:sz w:val="21"/>
                <w:szCs w:val="21"/>
                <w:lang w:val="zh-CN"/>
                <w14:textFill>
                  <w14:solidFill>
                    <w14:schemeClr w14:val="tx1"/>
                  </w14:solidFill>
                </w14:textFill>
              </w:rPr>
              <w:t>被列入严重违法失信企业名单或经营异常名录。提供网站下载的信用报告。</w:t>
            </w:r>
          </w:p>
        </w:tc>
      </w:tr>
      <w:tr w14:paraId="4CD97A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57B3D902">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99915B8">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联合体投标</w:t>
            </w:r>
          </w:p>
        </w:tc>
        <w:tc>
          <w:tcPr>
            <w:tcW w:w="5443" w:type="dxa"/>
            <w:tcBorders>
              <w:tl2br w:val="nil"/>
              <w:tr2bl w:val="nil"/>
            </w:tcBorders>
            <w:vAlign w:val="center"/>
          </w:tcPr>
          <w:p w14:paraId="70E2EE36">
            <w:pPr>
              <w:tabs>
                <w:tab w:val="left" w:pos="279"/>
                <w:tab w:val="left" w:pos="430"/>
              </w:tabs>
              <w:spacing w:line="400" w:lineRule="exact"/>
              <w:ind w:right="228" w:rightChars="9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本项目接受联合体投标。</w:t>
            </w:r>
          </w:p>
        </w:tc>
      </w:tr>
      <w:tr w14:paraId="1860FF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4E3FC459">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7F5C6298">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实质性响应</w:t>
            </w:r>
          </w:p>
        </w:tc>
        <w:tc>
          <w:tcPr>
            <w:tcW w:w="5443" w:type="dxa"/>
            <w:tcBorders>
              <w:tl2br w:val="nil"/>
              <w:tr2bl w:val="nil"/>
            </w:tcBorders>
            <w:vAlign w:val="center"/>
          </w:tcPr>
          <w:p w14:paraId="163F606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与招标文件要求的全部条款、条件和规格参数相符，没有重大偏离的投标。对关键条文的偏离、保留或反对将被认为是实质上的偏离。</w:t>
            </w:r>
          </w:p>
        </w:tc>
      </w:tr>
      <w:tr w14:paraId="7445D4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5C41DC12">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初步审查结论</w:t>
            </w:r>
          </w:p>
        </w:tc>
        <w:tc>
          <w:tcPr>
            <w:tcW w:w="5443" w:type="dxa"/>
            <w:tcBorders>
              <w:tl2br w:val="nil"/>
              <w:tr2bl w:val="nil"/>
            </w:tcBorders>
            <w:vAlign w:val="center"/>
          </w:tcPr>
          <w:p w14:paraId="65A489C2">
            <w:pPr>
              <w:spacing w:line="36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合格或不合格</w:t>
            </w:r>
          </w:p>
        </w:tc>
      </w:tr>
    </w:tbl>
    <w:p w14:paraId="3605A4AB">
      <w:pPr>
        <w:spacing w:before="24" w:beforeLines="10" w:after="120" w:afterLines="50" w:line="360" w:lineRule="auto"/>
        <w:outlineLvl w:val="1"/>
        <w:rPr>
          <w:rFonts w:hint="eastAsia" w:ascii="宋体" w:hAnsi="宋体" w:eastAsia="宋体" w:cs="宋体"/>
          <w:b/>
          <w:color w:val="000000" w:themeColor="text1"/>
          <w:szCs w:val="24"/>
          <w14:textFill>
            <w14:solidFill>
              <w14:schemeClr w14:val="tx1"/>
            </w14:solidFill>
          </w14:textFill>
        </w:rPr>
      </w:pPr>
      <w:bookmarkStart w:id="342" w:name="_Toc17598"/>
      <w:bookmarkStart w:id="343" w:name="_Toc136173614"/>
      <w:r>
        <w:rPr>
          <w:rFonts w:hint="eastAsia" w:ascii="宋体" w:hAnsi="宋体" w:eastAsia="宋体" w:cs="宋体"/>
          <w:b/>
          <w:color w:val="000000" w:themeColor="text1"/>
          <w:szCs w:val="24"/>
          <w14:textFill>
            <w14:solidFill>
              <w14:schemeClr w14:val="tx1"/>
            </w14:solidFill>
          </w14:textFill>
        </w:rPr>
        <w:t>4.  详细评审</w:t>
      </w:r>
      <w:bookmarkEnd w:id="342"/>
      <w:bookmarkEnd w:id="343"/>
    </w:p>
    <w:p w14:paraId="118B0C9D">
      <w:pPr>
        <w:pStyle w:val="84"/>
        <w:spacing w:beforeLines="0" w:after="0" w:line="360" w:lineRule="auto"/>
        <w:ind w:left="420" w:firstLine="0" w:firstLineChars="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评标委员会对初步评审合格的投标文件作进一步评审、比较。</w:t>
      </w:r>
    </w:p>
    <w:p w14:paraId="1E6FAA5F">
      <w:pPr>
        <w:pStyle w:val="84"/>
        <w:spacing w:beforeLines="0" w:after="0" w:line="360" w:lineRule="auto"/>
        <w:ind w:left="420" w:firstLine="0" w:firstLineChars="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155BD5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3CE7AEF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2308" w:type="pct"/>
            <w:tcBorders>
              <w:tl2br w:val="nil"/>
              <w:tr2bl w:val="nil"/>
            </w:tcBorders>
            <w:vAlign w:val="center"/>
          </w:tcPr>
          <w:p w14:paraId="1F310DC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评价指标名称</w:t>
            </w:r>
          </w:p>
        </w:tc>
        <w:tc>
          <w:tcPr>
            <w:tcW w:w="1666" w:type="pct"/>
            <w:tcBorders>
              <w:tl2br w:val="nil"/>
              <w:tr2bl w:val="nil"/>
            </w:tcBorders>
            <w:vAlign w:val="center"/>
          </w:tcPr>
          <w:p w14:paraId="37E989E5">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满分分值</w:t>
            </w:r>
          </w:p>
        </w:tc>
      </w:tr>
      <w:tr w14:paraId="21F194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7F17C27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p>
        </w:tc>
        <w:tc>
          <w:tcPr>
            <w:tcW w:w="2308" w:type="pct"/>
            <w:tcBorders>
              <w:tl2br w:val="nil"/>
              <w:tr2bl w:val="nil"/>
            </w:tcBorders>
            <w:vAlign w:val="center"/>
          </w:tcPr>
          <w:p w14:paraId="4D8D13F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商务评审得分</w:t>
            </w:r>
          </w:p>
        </w:tc>
        <w:tc>
          <w:tcPr>
            <w:tcW w:w="1666" w:type="pct"/>
            <w:tcBorders>
              <w:tl2br w:val="nil"/>
              <w:tr2bl w:val="nil"/>
            </w:tcBorders>
            <w:vAlign w:val="center"/>
          </w:tcPr>
          <w:p w14:paraId="3843F3ED">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w:t>
            </w:r>
          </w:p>
        </w:tc>
      </w:tr>
      <w:tr w14:paraId="222555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4BED186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p>
        </w:tc>
        <w:tc>
          <w:tcPr>
            <w:tcW w:w="2308" w:type="pct"/>
            <w:tcBorders>
              <w:tl2br w:val="nil"/>
              <w:tr2bl w:val="nil"/>
            </w:tcBorders>
            <w:vAlign w:val="center"/>
          </w:tcPr>
          <w:p w14:paraId="61CE2299">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技术评审得分</w:t>
            </w:r>
          </w:p>
        </w:tc>
        <w:tc>
          <w:tcPr>
            <w:tcW w:w="1666" w:type="pct"/>
            <w:tcBorders>
              <w:tl2br w:val="nil"/>
              <w:tr2bl w:val="nil"/>
            </w:tcBorders>
            <w:vAlign w:val="center"/>
          </w:tcPr>
          <w:p w14:paraId="3C123919">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30</w:t>
            </w:r>
          </w:p>
        </w:tc>
      </w:tr>
      <w:tr w14:paraId="4C52CC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0D3C3C2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p>
        </w:tc>
        <w:tc>
          <w:tcPr>
            <w:tcW w:w="2308" w:type="pct"/>
            <w:tcBorders>
              <w:tl2br w:val="nil"/>
              <w:tr2bl w:val="nil"/>
            </w:tcBorders>
            <w:vAlign w:val="center"/>
          </w:tcPr>
          <w:p w14:paraId="5ADB42C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价格评审得分</w:t>
            </w:r>
          </w:p>
        </w:tc>
        <w:tc>
          <w:tcPr>
            <w:tcW w:w="1666" w:type="pct"/>
            <w:tcBorders>
              <w:tl2br w:val="nil"/>
              <w:tr2bl w:val="nil"/>
            </w:tcBorders>
            <w:vAlign w:val="center"/>
          </w:tcPr>
          <w:p w14:paraId="289DE479">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60</w:t>
            </w:r>
          </w:p>
        </w:tc>
      </w:tr>
      <w:tr w14:paraId="46DC91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1F793C9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综合评分</w:t>
            </w:r>
          </w:p>
        </w:tc>
        <w:tc>
          <w:tcPr>
            <w:tcW w:w="1666" w:type="pct"/>
            <w:tcBorders>
              <w:tl2br w:val="nil"/>
              <w:tr2bl w:val="nil"/>
            </w:tcBorders>
            <w:vAlign w:val="center"/>
          </w:tcPr>
          <w:p w14:paraId="0916B2F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100</w:t>
            </w:r>
          </w:p>
        </w:tc>
      </w:tr>
    </w:tbl>
    <w:p w14:paraId="16C52CA5">
      <w:pPr>
        <w:pStyle w:val="5"/>
        <w:keepNext w:val="0"/>
        <w:keepLines w:val="0"/>
        <w:spacing w:before="120" w:beforeLines="50" w:after="120" w:afterLines="50" w:line="460" w:lineRule="exact"/>
        <w:jc w:val="left"/>
        <w:rPr>
          <w:rFonts w:hint="eastAsia" w:ascii="宋体" w:hAnsi="宋体" w:cs="宋体"/>
          <w:color w:val="000000" w:themeColor="text1"/>
          <w:sz w:val="24"/>
          <w:szCs w:val="24"/>
          <w14:textFill>
            <w14:solidFill>
              <w14:schemeClr w14:val="tx1"/>
            </w14:solidFill>
          </w14:textFill>
        </w:rPr>
      </w:pPr>
      <w:bookmarkStart w:id="344" w:name="_Toc20423"/>
      <w:bookmarkStart w:id="345" w:name="_Toc136173615"/>
      <w:r>
        <w:rPr>
          <w:rFonts w:hint="eastAsia" w:ascii="宋体" w:hAnsi="宋体" w:cs="宋体"/>
          <w:color w:val="000000" w:themeColor="text1"/>
          <w:sz w:val="24"/>
          <w:szCs w:val="24"/>
          <w14:textFill>
            <w14:solidFill>
              <w14:schemeClr w14:val="tx1"/>
            </w14:solidFill>
          </w14:textFill>
        </w:rPr>
        <w:t>4.1 商务评分标准（10分）</w:t>
      </w:r>
      <w:bookmarkEnd w:id="344"/>
      <w:bookmarkEnd w:id="345"/>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5BAF29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254E6213">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p>
          <w:p w14:paraId="4B154C37">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序号</w:t>
            </w:r>
          </w:p>
        </w:tc>
        <w:tc>
          <w:tcPr>
            <w:tcW w:w="1293" w:type="pct"/>
            <w:tcBorders>
              <w:tl2br w:val="nil"/>
              <w:tr2bl w:val="nil"/>
            </w:tcBorders>
          </w:tcPr>
          <w:p w14:paraId="0B19C79B">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p>
          <w:p w14:paraId="770B2ED1">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评审因素</w:t>
            </w:r>
          </w:p>
        </w:tc>
        <w:tc>
          <w:tcPr>
            <w:tcW w:w="362" w:type="pct"/>
            <w:tcBorders>
              <w:tl2br w:val="nil"/>
              <w:tr2bl w:val="nil"/>
            </w:tcBorders>
          </w:tcPr>
          <w:p w14:paraId="030FF9E5">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p>
          <w:p w14:paraId="16F2844F">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分值</w:t>
            </w:r>
          </w:p>
        </w:tc>
        <w:tc>
          <w:tcPr>
            <w:tcW w:w="2995" w:type="pct"/>
            <w:tcBorders>
              <w:tl2br w:val="nil"/>
              <w:tr2bl w:val="nil"/>
            </w:tcBorders>
          </w:tcPr>
          <w:p w14:paraId="70CA946E">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p>
          <w:p w14:paraId="26AD269D">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评分标准说明</w:t>
            </w:r>
          </w:p>
        </w:tc>
      </w:tr>
      <w:tr w14:paraId="463B9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69CBA2E0">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w:t>
            </w:r>
          </w:p>
        </w:tc>
        <w:tc>
          <w:tcPr>
            <w:tcW w:w="1293" w:type="pct"/>
            <w:tcBorders>
              <w:tl2br w:val="nil"/>
              <w:tr2bl w:val="nil"/>
            </w:tcBorders>
            <w:vAlign w:val="center"/>
          </w:tcPr>
          <w:p w14:paraId="44344B0F">
            <w:pP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企业实力</w:t>
            </w:r>
          </w:p>
        </w:tc>
        <w:tc>
          <w:tcPr>
            <w:tcW w:w="362" w:type="pct"/>
            <w:tcBorders>
              <w:tl2br w:val="nil"/>
              <w:tr2bl w:val="nil"/>
            </w:tcBorders>
            <w:vAlign w:val="center"/>
          </w:tcPr>
          <w:p w14:paraId="25305691">
            <w:pPr>
              <w:snapToGrid w:val="0"/>
              <w:spacing w:before="48" w:beforeLines="20" w:after="50"/>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2995" w:type="pct"/>
            <w:tcBorders>
              <w:tl2br w:val="nil"/>
              <w:tr2bl w:val="nil"/>
            </w:tcBorders>
            <w:vAlign w:val="center"/>
          </w:tcPr>
          <w:p w14:paraId="4A75C387">
            <w:pPr>
              <w:snapToGrid w:val="0"/>
              <w:spacing w:before="48" w:beforeLines="20" w:after="50"/>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①</w:t>
            </w:r>
            <w:r>
              <w:rPr>
                <w:rFonts w:ascii="宋体" w:hAnsi="宋体" w:eastAsia="宋体" w:cs="宋体"/>
                <w:bCs/>
                <w:color w:val="000000" w:themeColor="text1"/>
                <w:sz w:val="21"/>
                <w:szCs w:val="21"/>
                <w14:textFill>
                  <w14:solidFill>
                    <w14:schemeClr w14:val="tx1"/>
                  </w14:solidFill>
                </w14:textFill>
              </w:rPr>
              <w:t>投标人应具有中华人民共和国境内注册的独立法人资格并具备独立承担民事责任的能力，提供合法有效的营业执照</w:t>
            </w:r>
            <w:r>
              <w:rPr>
                <w:rFonts w:hint="eastAsia" w:ascii="宋体" w:hAnsi="宋体" w:eastAsia="宋体" w:cs="宋体"/>
                <w:bCs/>
                <w:color w:val="000000" w:themeColor="text1"/>
                <w:sz w:val="21"/>
                <w:szCs w:val="21"/>
                <w14:textFill>
                  <w14:solidFill>
                    <w14:schemeClr w14:val="tx1"/>
                  </w14:solidFill>
                </w14:textFill>
              </w:rPr>
              <w:t>，得1分，</w:t>
            </w:r>
            <w:r>
              <w:rPr>
                <w:rFonts w:ascii="宋体" w:hAnsi="宋体" w:eastAsia="宋体" w:cs="宋体"/>
                <w:bCs/>
                <w:color w:val="000000" w:themeColor="text1"/>
                <w:sz w:val="21"/>
                <w:szCs w:val="21"/>
                <w14:textFill>
                  <w14:solidFill>
                    <w14:schemeClr w14:val="tx1"/>
                  </w14:solidFill>
                </w14:textFill>
              </w:rPr>
              <w:t>投标人为螯合剂生产厂家，提供生产许可证</w:t>
            </w:r>
            <w:r>
              <w:rPr>
                <w:rFonts w:hint="eastAsia" w:ascii="宋体" w:hAnsi="宋体" w:eastAsia="宋体" w:cs="宋体"/>
                <w:bCs/>
                <w:color w:val="000000" w:themeColor="text1"/>
                <w:sz w:val="21"/>
                <w:szCs w:val="21"/>
                <w14:textFill>
                  <w14:solidFill>
                    <w14:schemeClr w14:val="tx1"/>
                  </w14:solidFill>
                </w14:textFill>
              </w:rPr>
              <w:t>的加1分</w:t>
            </w:r>
          </w:p>
          <w:p w14:paraId="22DAFD7E">
            <w:pPr>
              <w:pStyle w:val="3"/>
              <w:jc w:val="left"/>
              <w:rPr>
                <w:rFonts w:hint="eastAsia"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②提供最近三年度的财务报表，财务状况良好得2分，其他视情况0-1分，不盈利不得分</w:t>
            </w:r>
          </w:p>
        </w:tc>
      </w:tr>
      <w:tr w14:paraId="01987F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761ECF9F">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1293" w:type="pct"/>
            <w:tcBorders>
              <w:tl2br w:val="nil"/>
              <w:tr2bl w:val="nil"/>
            </w:tcBorders>
            <w:vAlign w:val="center"/>
          </w:tcPr>
          <w:p w14:paraId="171006AB">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业绩</w:t>
            </w:r>
          </w:p>
        </w:tc>
        <w:tc>
          <w:tcPr>
            <w:tcW w:w="362" w:type="pct"/>
            <w:tcBorders>
              <w:tl2br w:val="nil"/>
              <w:tr2bl w:val="nil"/>
            </w:tcBorders>
            <w:vAlign w:val="center"/>
          </w:tcPr>
          <w:p w14:paraId="5CDC83FE">
            <w:pPr>
              <w:snapToGrid w:val="0"/>
              <w:spacing w:before="48" w:beforeLines="20" w:after="50"/>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w:t>
            </w:r>
          </w:p>
        </w:tc>
        <w:tc>
          <w:tcPr>
            <w:tcW w:w="2995" w:type="pct"/>
            <w:tcBorders>
              <w:tl2br w:val="nil"/>
              <w:tr2bl w:val="nil"/>
            </w:tcBorders>
            <w:vAlign w:val="center"/>
          </w:tcPr>
          <w:p w14:paraId="12C0981E">
            <w:pPr>
              <w:pStyle w:val="3"/>
              <w:jc w:val="left"/>
              <w:rPr>
                <w:rFonts w:hint="eastAsia"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近五年内相关飞灰固化处理服务≥5个业绩，得基本分3分；每增加5个业绩加1分，满分5分。须提供合同关键页复印件（包含合同首页、处理规模、处理对象、处理工艺、签订时间、签字盖章页等，合同未体现的需附证明文件），时间以合同签订时间为准。</w:t>
            </w:r>
          </w:p>
        </w:tc>
      </w:tr>
      <w:tr w14:paraId="1B8FEC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2605213">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1293" w:type="pct"/>
            <w:tcBorders>
              <w:tl2br w:val="nil"/>
              <w:tr2bl w:val="nil"/>
            </w:tcBorders>
            <w:vAlign w:val="center"/>
          </w:tcPr>
          <w:p w14:paraId="5439976B">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商务条款符合性</w:t>
            </w:r>
          </w:p>
        </w:tc>
        <w:tc>
          <w:tcPr>
            <w:tcW w:w="362" w:type="pct"/>
            <w:tcBorders>
              <w:tl2br w:val="nil"/>
              <w:tr2bl w:val="nil"/>
            </w:tcBorders>
            <w:vAlign w:val="center"/>
          </w:tcPr>
          <w:p w14:paraId="4072B41F">
            <w:pPr>
              <w:snapToGrid w:val="0"/>
              <w:spacing w:before="48" w:beforeLines="20" w:after="50"/>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2995" w:type="pct"/>
            <w:tcBorders>
              <w:tl2br w:val="nil"/>
              <w:tr2bl w:val="nil"/>
            </w:tcBorders>
            <w:vAlign w:val="center"/>
          </w:tcPr>
          <w:p w14:paraId="0B74D159">
            <w:pP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服务期及其他商务条款满足招标文件要求，得2分,其他酌情得分。</w:t>
            </w:r>
          </w:p>
        </w:tc>
      </w:tr>
      <w:tr w14:paraId="19650D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7B7B0633">
            <w:pPr>
              <w:snapToGrid w:val="0"/>
              <w:spacing w:before="48" w:beforeLines="20" w:after="50"/>
              <w:jc w:val="center"/>
              <w:rPr>
                <w:rFonts w:hint="eastAsia" w:ascii="宋体" w:hAnsi="宋体" w:eastAsia="宋体" w:cs="宋体"/>
                <w:b/>
                <w:color w:val="000000" w:themeColor="text1"/>
                <w:sz w:val="21"/>
                <w:szCs w:val="21"/>
                <w14:textFill>
                  <w14:solidFill>
                    <w14:schemeClr w14:val="tx1"/>
                  </w14:solidFill>
                </w14:textFill>
              </w:rPr>
            </w:pPr>
          </w:p>
          <w:p w14:paraId="39A9BB0E">
            <w:pPr>
              <w:snapToGrid w:val="0"/>
              <w:spacing w:before="48" w:beforeLines="20" w:after="5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合计</w:t>
            </w:r>
          </w:p>
        </w:tc>
        <w:tc>
          <w:tcPr>
            <w:tcW w:w="362" w:type="pct"/>
            <w:tcBorders>
              <w:tl2br w:val="nil"/>
              <w:tr2bl w:val="nil"/>
            </w:tcBorders>
          </w:tcPr>
          <w:p w14:paraId="3F79CA8C">
            <w:pPr>
              <w:snapToGrid w:val="0"/>
              <w:spacing w:before="48" w:beforeLines="20" w:after="50"/>
              <w:jc w:val="center"/>
              <w:rPr>
                <w:rFonts w:hint="eastAsia" w:ascii="宋体" w:hAnsi="宋体" w:eastAsia="宋体" w:cs="宋体"/>
                <w:b/>
                <w:color w:val="000000" w:themeColor="text1"/>
                <w:sz w:val="21"/>
                <w:szCs w:val="21"/>
                <w14:textFill>
                  <w14:solidFill>
                    <w14:schemeClr w14:val="tx1"/>
                  </w14:solidFill>
                </w14:textFill>
              </w:rPr>
            </w:pPr>
          </w:p>
          <w:p w14:paraId="3E5C3B1F">
            <w:pPr>
              <w:snapToGrid w:val="0"/>
              <w:spacing w:before="48" w:beforeLines="20" w:after="5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10</w:t>
            </w:r>
          </w:p>
        </w:tc>
        <w:tc>
          <w:tcPr>
            <w:tcW w:w="2995" w:type="pct"/>
            <w:tcBorders>
              <w:tl2br w:val="nil"/>
              <w:tr2bl w:val="nil"/>
            </w:tcBorders>
          </w:tcPr>
          <w:p w14:paraId="7354DB11">
            <w:pPr>
              <w:snapToGrid w:val="0"/>
              <w:spacing w:before="48" w:beforeLines="20" w:after="50"/>
              <w:rPr>
                <w:rFonts w:hint="eastAsia" w:ascii="宋体" w:hAnsi="宋体" w:eastAsia="宋体" w:cs="宋体"/>
                <w:b/>
                <w:color w:val="000000" w:themeColor="text1"/>
                <w:sz w:val="21"/>
                <w:szCs w:val="21"/>
                <w14:textFill>
                  <w14:solidFill>
                    <w14:schemeClr w14:val="tx1"/>
                  </w14:solidFill>
                </w14:textFill>
              </w:rPr>
            </w:pPr>
          </w:p>
        </w:tc>
      </w:tr>
    </w:tbl>
    <w:p w14:paraId="54D5A10F">
      <w:pPr>
        <w:pStyle w:val="42"/>
        <w:numPr>
          <w:ilvl w:val="0"/>
          <w:numId w:val="5"/>
        </w:numPr>
        <w:rPr>
          <w:rFonts w:hint="eastAsia" w:hAnsi="宋体" w:cs="宋体"/>
          <w:color w:val="000000" w:themeColor="text1"/>
          <w:lang w:val="zh-CN"/>
          <w14:textFill>
            <w14:solidFill>
              <w14:schemeClr w14:val="tx1"/>
            </w14:solidFill>
          </w14:textFill>
        </w:rPr>
        <w:sectPr>
          <w:pgSz w:w="11907" w:h="16840"/>
          <w:pgMar w:top="1247" w:right="1361" w:bottom="1247" w:left="1361" w:header="720" w:footer="720" w:gutter="0"/>
          <w:cols w:space="720" w:num="1"/>
          <w:docGrid w:linePitch="286" w:charSpace="0"/>
        </w:sectPr>
      </w:pPr>
    </w:p>
    <w:p w14:paraId="22909E9B">
      <w:pPr>
        <w:pStyle w:val="5"/>
        <w:keepNext w:val="0"/>
        <w:keepLines w:val="0"/>
        <w:spacing w:before="120" w:beforeLines="50" w:after="120" w:afterLines="50" w:line="460" w:lineRule="exact"/>
        <w:jc w:val="left"/>
        <w:rPr>
          <w:rFonts w:hint="eastAsia" w:ascii="宋体" w:hAnsi="宋体" w:cs="宋体"/>
          <w:color w:val="000000" w:themeColor="text1"/>
          <w:sz w:val="24"/>
          <w:szCs w:val="24"/>
          <w14:textFill>
            <w14:solidFill>
              <w14:schemeClr w14:val="tx1"/>
            </w14:solidFill>
          </w14:textFill>
        </w:rPr>
      </w:pPr>
      <w:bookmarkStart w:id="346" w:name="_Toc17854"/>
      <w:bookmarkStart w:id="347" w:name="_Toc136173616"/>
      <w:r>
        <w:rPr>
          <w:rFonts w:hint="eastAsia" w:ascii="宋体" w:hAnsi="宋体" w:cs="宋体"/>
          <w:color w:val="000000" w:themeColor="text1"/>
          <w:sz w:val="24"/>
          <w:szCs w:val="24"/>
          <w14:textFill>
            <w14:solidFill>
              <w14:schemeClr w14:val="tx1"/>
            </w14:solidFill>
          </w14:textFill>
        </w:rPr>
        <w:t>4.2 技术评分标准（30分）</w:t>
      </w:r>
      <w:bookmarkEnd w:id="346"/>
      <w:bookmarkEnd w:id="347"/>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603872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21217834">
            <w:pPr>
              <w:jc w:val="center"/>
              <w:rPr>
                <w:rFonts w:hint="eastAsia"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序号</w:t>
            </w:r>
          </w:p>
        </w:tc>
        <w:tc>
          <w:tcPr>
            <w:tcW w:w="3135" w:type="dxa"/>
            <w:tcBorders>
              <w:tl2br w:val="nil"/>
              <w:tr2bl w:val="nil"/>
            </w:tcBorders>
            <w:vAlign w:val="center"/>
          </w:tcPr>
          <w:p w14:paraId="1C0D18D7">
            <w:pPr>
              <w:jc w:val="center"/>
              <w:rPr>
                <w:rFonts w:hint="eastAsia"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评审因素</w:t>
            </w:r>
          </w:p>
        </w:tc>
        <w:tc>
          <w:tcPr>
            <w:tcW w:w="675" w:type="dxa"/>
            <w:tcBorders>
              <w:tl2br w:val="nil"/>
              <w:tr2bl w:val="nil"/>
            </w:tcBorders>
            <w:vAlign w:val="center"/>
          </w:tcPr>
          <w:p w14:paraId="3D7EC18E">
            <w:pPr>
              <w:jc w:val="center"/>
              <w:rPr>
                <w:rFonts w:hint="eastAsia"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分值</w:t>
            </w:r>
          </w:p>
        </w:tc>
        <w:tc>
          <w:tcPr>
            <w:tcW w:w="5036" w:type="dxa"/>
            <w:tcBorders>
              <w:tl2br w:val="nil"/>
              <w:tr2bl w:val="nil"/>
            </w:tcBorders>
            <w:vAlign w:val="center"/>
          </w:tcPr>
          <w:p w14:paraId="42D42912">
            <w:pPr>
              <w:jc w:val="center"/>
              <w:rPr>
                <w:rFonts w:hint="eastAsia"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评分标准说明</w:t>
            </w:r>
          </w:p>
        </w:tc>
      </w:tr>
      <w:tr w14:paraId="34D8D5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707F269D">
            <w:pPr>
              <w:ind w:right="-139" w:rightChars="-58"/>
              <w:jc w:val="left"/>
              <w:rPr>
                <w:rFonts w:hint="eastAsia" w:ascii="宋体" w:hAnsi="宋体" w:eastAsia="宋体" w:cs="宋体"/>
                <w:b/>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3135" w:type="dxa"/>
            <w:tcBorders>
              <w:tl2br w:val="nil"/>
              <w:tr2bl w:val="nil"/>
            </w:tcBorders>
            <w:vAlign w:val="center"/>
          </w:tcPr>
          <w:p w14:paraId="58F951F0">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服务方案</w:t>
            </w:r>
          </w:p>
        </w:tc>
        <w:tc>
          <w:tcPr>
            <w:tcW w:w="675" w:type="dxa"/>
            <w:tcBorders>
              <w:tl2br w:val="nil"/>
              <w:tr2bl w:val="nil"/>
            </w:tcBorders>
            <w:vAlign w:val="center"/>
          </w:tcPr>
          <w:p w14:paraId="6FC95C98">
            <w:pPr>
              <w:snapToGrid w:val="0"/>
              <w:spacing w:line="30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5036" w:type="dxa"/>
            <w:tcBorders>
              <w:tl2br w:val="nil"/>
              <w:tr2bl w:val="nil"/>
            </w:tcBorders>
            <w:vAlign w:val="center"/>
          </w:tcPr>
          <w:p w14:paraId="1AF22F74">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根据投标人提供的服务方案是否满足技术要求及方案的详细程度及合理性进行评审。</w:t>
            </w:r>
          </w:p>
          <w:p w14:paraId="58132EE9">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cs="宋体"/>
                <w:szCs w:val="21"/>
              </w:rPr>
              <w:t>对</w:t>
            </w:r>
            <w:r>
              <w:rPr>
                <w:rFonts w:hint="eastAsia" w:ascii="宋体" w:hAnsi="宋体" w:eastAsia="宋体" w:cs="宋体"/>
                <w:color w:val="000000" w:themeColor="text1"/>
                <w:szCs w:val="21"/>
                <w14:textFill>
                  <w14:solidFill>
                    <w14:schemeClr w14:val="tx1"/>
                  </w14:solidFill>
                </w14:textFill>
              </w:rPr>
              <w:t>项目概况与服务方位响应情况、飞灰固化处理专项技术方案、人员与机械配置方案、服务质量、进度与安全保障措施、设备运维方案、应急处置预防方案、</w:t>
            </w:r>
            <w:r>
              <w:rPr>
                <w:rFonts w:hint="eastAsia" w:ascii="宋体" w:hAnsi="宋体" w:cs="宋体"/>
                <w:szCs w:val="21"/>
              </w:rPr>
              <w:t>作业过程的安全管理责任及环保管理责任是否符合要求、物资保障是否合理及时、对投标方管理是否服从</w:t>
            </w:r>
            <w:r>
              <w:rPr>
                <w:rFonts w:hint="eastAsia" w:ascii="宋体" w:hAnsi="宋体" w:eastAsia="宋体" w:cs="宋体"/>
                <w:color w:val="000000" w:themeColor="text1"/>
                <w:szCs w:val="21"/>
                <w14:textFill>
                  <w14:solidFill>
                    <w14:schemeClr w14:val="tx1"/>
                  </w14:solidFill>
                </w14:textFill>
              </w:rPr>
              <w:t>。</w:t>
            </w:r>
          </w:p>
          <w:p w14:paraId="72FB7C34">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横向对比，优秀的得2</w:t>
            </w:r>
            <w:r>
              <w:rPr>
                <w:rFonts w:ascii="宋体" w:hAnsi="宋体" w:eastAsia="宋体" w:cs="宋体"/>
                <w:color w:val="000000" w:themeColor="text1"/>
                <w:szCs w:val="21"/>
                <w14:textFill>
                  <w14:solidFill>
                    <w14:schemeClr w14:val="tx1"/>
                  </w14:solidFill>
                </w14:textFill>
              </w:rPr>
              <w:t>0</w:t>
            </w:r>
            <w:r>
              <w:rPr>
                <w:rFonts w:hint="eastAsia" w:ascii="宋体" w:hAnsi="宋体" w:eastAsia="宋体" w:cs="宋体"/>
                <w:color w:val="000000" w:themeColor="text1"/>
                <w:szCs w:val="21"/>
                <w14:textFill>
                  <w14:solidFill>
                    <w14:schemeClr w14:val="tx1"/>
                  </w14:solidFill>
                </w14:textFill>
              </w:rPr>
              <w:t>-30分，良好的得10-2</w:t>
            </w:r>
            <w:r>
              <w:rPr>
                <w:rFonts w:ascii="宋体" w:hAnsi="宋体" w:eastAsia="宋体" w:cs="宋体"/>
                <w:color w:val="000000" w:themeColor="text1"/>
                <w:szCs w:val="21"/>
                <w14:textFill>
                  <w14:solidFill>
                    <w14:schemeClr w14:val="tx1"/>
                  </w14:solidFill>
                </w14:textFill>
              </w:rPr>
              <w:t>0</w:t>
            </w:r>
            <w:r>
              <w:rPr>
                <w:rFonts w:hint="eastAsia" w:ascii="宋体" w:hAnsi="宋体" w:eastAsia="宋体" w:cs="宋体"/>
                <w:color w:val="000000" w:themeColor="text1"/>
                <w:szCs w:val="21"/>
                <w14:textFill>
                  <w14:solidFill>
                    <w14:schemeClr w14:val="tx1"/>
                  </w14:solidFill>
                </w14:textFill>
              </w:rPr>
              <w:t>分，差的得0-10分</w:t>
            </w:r>
          </w:p>
        </w:tc>
      </w:tr>
      <w:tr w14:paraId="3EE3BC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7D8CC7CA">
            <w:pPr>
              <w:snapToGrid w:val="0"/>
              <w:spacing w:line="30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合计</w:t>
            </w:r>
          </w:p>
        </w:tc>
        <w:tc>
          <w:tcPr>
            <w:tcW w:w="675" w:type="dxa"/>
            <w:tcBorders>
              <w:tl2br w:val="nil"/>
              <w:tr2bl w:val="nil"/>
            </w:tcBorders>
            <w:vAlign w:val="center"/>
          </w:tcPr>
          <w:p w14:paraId="1CD9948F">
            <w:pPr>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5036" w:type="dxa"/>
            <w:tcBorders>
              <w:tl2br w:val="nil"/>
              <w:tr2bl w:val="nil"/>
            </w:tcBorders>
            <w:vAlign w:val="center"/>
          </w:tcPr>
          <w:p w14:paraId="6224F54F">
            <w:pPr>
              <w:jc w:val="center"/>
              <w:rPr>
                <w:rFonts w:hint="eastAsia" w:ascii="宋体" w:hAnsi="宋体" w:eastAsia="宋体" w:cs="宋体"/>
                <w:color w:val="000000" w:themeColor="text1"/>
                <w:szCs w:val="21"/>
                <w14:textFill>
                  <w14:solidFill>
                    <w14:schemeClr w14:val="tx1"/>
                  </w14:solidFill>
                </w14:textFill>
              </w:rPr>
            </w:pPr>
          </w:p>
        </w:tc>
      </w:tr>
    </w:tbl>
    <w:p w14:paraId="41D0D947"/>
    <w:p w14:paraId="042C49B8">
      <w:pPr>
        <w:pStyle w:val="5"/>
        <w:keepNext w:val="0"/>
        <w:keepLines w:val="0"/>
        <w:spacing w:before="120" w:beforeLines="50" w:after="120" w:afterLines="50" w:line="460" w:lineRule="exact"/>
        <w:jc w:val="left"/>
        <w:rPr>
          <w:rFonts w:hint="eastAsia" w:ascii="宋体" w:hAnsi="宋体" w:cs="宋体"/>
          <w:color w:val="000000" w:themeColor="text1"/>
          <w:sz w:val="24"/>
          <w:szCs w:val="24"/>
          <w14:textFill>
            <w14:solidFill>
              <w14:schemeClr w14:val="tx1"/>
            </w14:solidFill>
          </w14:textFill>
        </w:rPr>
      </w:pPr>
      <w:bookmarkStart w:id="348" w:name="_Toc136173617"/>
      <w:bookmarkStart w:id="349" w:name="_Toc2195"/>
      <w:r>
        <w:rPr>
          <w:rFonts w:hint="eastAsia" w:ascii="宋体" w:hAnsi="宋体" w:cs="宋体"/>
          <w:color w:val="000000" w:themeColor="text1"/>
          <w:sz w:val="24"/>
          <w:szCs w:val="24"/>
          <w14:textFill>
            <w14:solidFill>
              <w14:schemeClr w14:val="tx1"/>
            </w14:solidFill>
          </w14:textFill>
        </w:rPr>
        <w:t>4.3 投标报价评分标准（满分60分）</w:t>
      </w:r>
      <w:bookmarkEnd w:id="348"/>
      <w:bookmarkEnd w:id="349"/>
    </w:p>
    <w:p w14:paraId="3214D1EA">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4.3.1 有效报价</w:t>
      </w:r>
    </w:p>
    <w:p w14:paraId="63C5CF1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指通过评标委员会评审的投标报价，超过所有投标报价算数平均值的±40%的报价不作为有效报价，不计入基准价的计算。</w:t>
      </w:r>
    </w:p>
    <w:p w14:paraId="36A620A3">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4.3.2 评标基准价</w:t>
      </w:r>
    </w:p>
    <w:p w14:paraId="1E3ED60C">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以所有有效报价中的最低价作为评标基准价。</w:t>
      </w:r>
    </w:p>
    <w:p w14:paraId="6BA6531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4.3.3 投标报价得分计算方法</w:t>
      </w:r>
    </w:p>
    <w:p w14:paraId="66CF67A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价格得分 =（基准价 / 投标报价）× 60</w:t>
      </w:r>
    </w:p>
    <w:p w14:paraId="3DC990F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（计分均取至小数点后两位，四舍五入）</w:t>
      </w:r>
    </w:p>
    <w:p w14:paraId="78CC5A1B">
      <w:pPr>
        <w:pStyle w:val="5"/>
        <w:keepNext w:val="0"/>
        <w:keepLines w:val="0"/>
        <w:spacing w:before="120" w:beforeLines="50" w:after="120" w:afterLines="50" w:line="460" w:lineRule="exact"/>
        <w:jc w:val="left"/>
        <w:rPr>
          <w:rFonts w:hint="eastAsia" w:ascii="宋体" w:hAnsi="宋体" w:cs="宋体"/>
          <w:color w:val="000000" w:themeColor="text1"/>
          <w:sz w:val="24"/>
          <w:szCs w:val="24"/>
          <w14:textFill>
            <w14:solidFill>
              <w14:schemeClr w14:val="tx1"/>
            </w14:solidFill>
          </w14:textFill>
        </w:rPr>
      </w:pPr>
      <w:bookmarkStart w:id="350" w:name="_Toc136173618"/>
      <w:bookmarkStart w:id="351" w:name="_Toc21525"/>
      <w:r>
        <w:rPr>
          <w:rFonts w:hint="eastAsia" w:ascii="宋体" w:hAnsi="宋体" w:cs="宋体"/>
          <w:color w:val="000000" w:themeColor="text1"/>
          <w:sz w:val="24"/>
          <w:szCs w:val="24"/>
          <w14:textFill>
            <w14:solidFill>
              <w14:schemeClr w14:val="tx1"/>
            </w14:solidFill>
          </w14:textFill>
        </w:rPr>
        <w:t>4.4 评标结果</w:t>
      </w:r>
      <w:bookmarkEnd w:id="350"/>
      <w:bookmarkEnd w:id="351"/>
    </w:p>
    <w:p w14:paraId="52A9A4FC">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4.4.1 评标委员会按照得分由高到低的顺序推荐中标候选人，并标明排序。</w:t>
      </w:r>
    </w:p>
    <w:p w14:paraId="512B3608">
      <w:pPr>
        <w:spacing w:line="360" w:lineRule="auto"/>
        <w:jc w:val="left"/>
        <w:rPr>
          <w:rFonts w:hint="eastAsia" w:ascii="宋体" w:hAnsi="宋体" w:eastAsia="宋体" w:cs="宋体"/>
          <w:color w:val="000000" w:themeColor="text1"/>
          <w:szCs w:val="24"/>
          <w14:textFill>
            <w14:solidFill>
              <w14:schemeClr w14:val="tx1"/>
            </w14:solidFill>
          </w14:textFill>
        </w:rPr>
        <w:sectPr>
          <w:footerReference r:id="rId9" w:type="default"/>
          <w:pgSz w:w="12240" w:h="15840"/>
          <w:pgMar w:top="1134" w:right="1417" w:bottom="1134" w:left="1417" w:header="0" w:footer="921" w:gutter="0"/>
          <w:cols w:space="720" w:num="1"/>
        </w:sectPr>
      </w:pPr>
      <w:r>
        <w:rPr>
          <w:rFonts w:hint="eastAsia" w:ascii="宋体" w:hAnsi="宋体" w:eastAsia="宋体" w:cs="宋体"/>
          <w:color w:val="000000" w:themeColor="text1"/>
          <w:szCs w:val="24"/>
          <w14:textFill>
            <w14:solidFill>
              <w14:schemeClr w14:val="tx1"/>
            </w14:solidFill>
          </w14:textFill>
        </w:rPr>
        <w:t>4.4.2 评标委员会完成评标后向招标人提交书面评标报告和中标候选人名单。</w:t>
      </w:r>
    </w:p>
    <w:p w14:paraId="01C4AC9F">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bookmarkStart w:id="352" w:name="_Toc136173619"/>
      <w:bookmarkStart w:id="353" w:name="_Toc28415"/>
      <w:r>
        <w:rPr>
          <w:rFonts w:hint="eastAsia" w:ascii="宋体" w:hAnsi="宋体" w:eastAsia="宋体" w:cs="宋体"/>
          <w:color w:val="000000" w:themeColor="text1"/>
          <w:sz w:val="32"/>
          <w:szCs w:val="32"/>
          <w14:textFill>
            <w14:solidFill>
              <w14:schemeClr w14:val="tx1"/>
            </w14:solidFill>
          </w14:textFill>
        </w:rPr>
        <w:t>第四章 合同主要条款及合同文本格式</w:t>
      </w:r>
      <w:bookmarkEnd w:id="352"/>
      <w:bookmarkEnd w:id="353"/>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745100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711F0FD3">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4FAEF71B">
            <w:pPr>
              <w:snapToGrid w:val="0"/>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固定单价包括但不限于：人工费（含叉车司机）、厂内运输转运费（含叉车/板车、燃 料、保养等）、材料费（吨袋、药剂、维保材料等）、设备维保费（含因乙方原因导致设备 损坏维修、零件备件更换费用）、工器具费、交通差旅费、食宿费、劳保用品费、外部协调 飞灰固化处理服务合同 3 费、保险费、职业健康体检费、企业管理费、各类检测检验费、安全文明和技术措施费、利 润、税费等为完成《技术规范书》和国家规范规定的所有工作内容所需的费用。</w:t>
            </w:r>
          </w:p>
          <w:p w14:paraId="064AB57B">
            <w:pPr>
              <w:snapToGrid w:val="0"/>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（2）投标人必须按招标文件提供的报价表格进行报价。投标报价必须注明税率税种。</w:t>
            </w:r>
          </w:p>
          <w:p w14:paraId="7B20EE05">
            <w:pPr>
              <w:snapToGrid w:val="0"/>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（3）住宿由投标人自理，招标人不提供食堂，投标人饮食费用自理；上述费用投标人应综合考虑在投标报价中。</w:t>
            </w:r>
          </w:p>
          <w:p w14:paraId="39583AD1">
            <w:pPr>
              <w:snapToGrid w:val="0"/>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除非合同中另有规定，投标报价应为本标发生的各项应有费用总和，其中包括人工、机械、设备、材料、仪器仪表使用、安全文明、管理、交通运输、食宿、通讯、与同时在现场作业的其它检修单位的施工配合、利润、税金、合同条款规定的保险、政策性文件规定及合同包含的所有风险、责任等。</w:t>
            </w:r>
          </w:p>
          <w:p w14:paraId="08D5274A">
            <w:pPr>
              <w:snapToGrid w:val="0"/>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（5）其他报价要求详见招标文件及招标文件附件。</w:t>
            </w:r>
          </w:p>
        </w:tc>
      </w:tr>
      <w:tr w14:paraId="584C1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6293A890">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55B693AC">
            <w:pPr>
              <w:snapToGrid w:val="0"/>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13%增值税专用发票（增值税发票）。</w:t>
            </w:r>
          </w:p>
        </w:tc>
      </w:tr>
      <w:tr w14:paraId="37BFED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72" w:hRule="atLeast"/>
        </w:trPr>
        <w:tc>
          <w:tcPr>
            <w:tcW w:w="1384" w:type="dxa"/>
            <w:tcBorders>
              <w:top w:val="single" w:color="auto" w:sz="4" w:space="0"/>
              <w:left w:val="single" w:color="auto" w:sz="4" w:space="0"/>
              <w:bottom w:val="single" w:color="auto" w:sz="4" w:space="0"/>
              <w:right w:val="single" w:color="auto" w:sz="4" w:space="0"/>
            </w:tcBorders>
            <w:vAlign w:val="center"/>
          </w:tcPr>
          <w:p w14:paraId="79CA156A">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58A47240">
            <w:pPr>
              <w:snapToGrid w:val="0"/>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合同签订生效后5个工作日内，中标人应向招标人缴纳</w:t>
            </w:r>
            <w:r>
              <w:rPr>
                <w:rFonts w:hint="eastAsia" w:ascii="宋体" w:hAnsi="宋体" w:eastAsia="宋体" w:cs="宋体"/>
                <w:color w:val="000000" w:themeColor="text1"/>
                <w:sz w:val="21"/>
                <w:szCs w:val="21"/>
                <w:highlight w:val="green"/>
                <w14:textFill>
                  <w14:solidFill>
                    <w14:schemeClr w14:val="tx1"/>
                  </w14:solidFill>
                </w14:textFill>
              </w:rPr>
              <w:t>履约保证金300000元</w:t>
            </w:r>
            <w:r>
              <w:rPr>
                <w:rFonts w:hint="eastAsia" w:ascii="宋体" w:hAnsi="宋体" w:eastAsia="宋体" w:cs="宋体"/>
                <w:color w:val="000000" w:themeColor="text1"/>
                <w:sz w:val="21"/>
                <w:szCs w:val="21"/>
                <w14:textFill>
                  <w14:solidFill>
                    <w14:schemeClr w14:val="tx1"/>
                  </w14:solidFill>
                </w14:textFill>
              </w:rPr>
              <w:t>;合同履行过程中，中标人如出现应承担违约责任的事项，招标人有权在履约保证金中扣除相应金额。本合同履行完毕后，招标人在支付合同期内最后一个月的合同价款时，将剩余履约保证金（如有）一并无息支付中标人。如履约保证金金额不足以弥补中标人应承担的违约责任的，招标人有权从应支付给中标人的合同价款中扣除，仍不足部分，招标人有权继续向中标人追偿。</w:t>
            </w:r>
          </w:p>
        </w:tc>
      </w:tr>
      <w:tr w14:paraId="224656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58F6B3FD">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服务时间及地点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0B63D2B2">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服务时间:1年，2026年1月1日至2026年12月31日。乙方每次进场时间以甲方开工令时间为准。</w:t>
            </w:r>
          </w:p>
          <w:p w14:paraId="0F96ABB7">
            <w:pPr>
              <w:snapToGrid w:val="0"/>
              <w:spacing w:line="360" w:lineRule="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交货地点：</w:t>
            </w:r>
            <w:r>
              <w:rPr>
                <w:rFonts w:hint="eastAsia" w:ascii="宋体" w:hAnsi="宋体" w:eastAsia="宋体" w:cs="宋体"/>
                <w:color w:val="000000" w:themeColor="text1"/>
                <w:sz w:val="21"/>
                <w:szCs w:val="21"/>
                <w:u w:val="single"/>
                <w14:textFill>
                  <w14:solidFill>
                    <w14:schemeClr w14:val="tx1"/>
                  </w14:solidFill>
                </w14:textFill>
              </w:rPr>
              <w:t xml:space="preserve"> 本项目所在地 </w:t>
            </w:r>
          </w:p>
        </w:tc>
      </w:tr>
      <w:tr w14:paraId="67AED1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7F5F66D7">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09F94291">
            <w:pPr>
              <w:snapToGrid w:val="0"/>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每月预结算以螯合固化处理达标的飞灰稳定固化物磅单（养护间养护合格后转移至暂存间的入库磅单为准）以及飞灰无害化处理生产统计台帐及处理指标检测合格报告作为结算依据，计量装置以甲方厂区内地磅为准，甲方双方共同确认重量后每月按此办理飞灰稳定固化物90%结算。</w:t>
            </w:r>
          </w:p>
          <w:p w14:paraId="3A7B5CEA">
            <w:pPr>
              <w:snapToGrid w:val="0"/>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(2)每月预结算价款=固定综合处理单价×每月飞灰稳定固化物磅单总量×90%</w:t>
            </w:r>
          </w:p>
          <w:p w14:paraId="29A8453E">
            <w:pPr>
              <w:snapToGrid w:val="0"/>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(3)最终结算以甲方双方确认的第三方转运单位每月飞灰稳定固化物出厂填埋的过磅重量办理最终结算。</w:t>
            </w:r>
          </w:p>
          <w:p w14:paraId="377512E5">
            <w:pPr>
              <w:snapToGrid w:val="0"/>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(4)最终结算价款=固定综合处理单价×飞灰稳定固化物出厂填埋的过磅重量</w:t>
            </w:r>
          </w:p>
          <w:p w14:paraId="2162BDF3">
            <w:pPr>
              <w:snapToGrid w:val="0"/>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月服务费=月实际填埋飞灰量×固定单价</w:t>
            </w:r>
          </w:p>
          <w:p w14:paraId="641DD630">
            <w:pPr>
              <w:spacing w:line="360" w:lineRule="auto"/>
              <w:rPr>
                <w:rFonts w:hint="eastAsia" w:ascii="宋体" w:hAnsi="宋体" w:eastAsia="宋体" w:cs="宋体"/>
                <w:color w:val="000000" w:themeColor="text1"/>
                <w:sz w:val="21"/>
                <w:szCs w:val="21"/>
                <w14:textFill>
                  <w14:solidFill>
                    <w14:schemeClr w14:val="tx1"/>
                  </w14:solidFill>
                </w14:textFill>
              </w:rPr>
            </w:pPr>
          </w:p>
        </w:tc>
      </w:tr>
    </w:tbl>
    <w:p w14:paraId="389A4CE3">
      <w:pPr>
        <w:snapToGrid w:val="0"/>
        <w:spacing w:line="360" w:lineRule="auto"/>
        <w:ind w:firstLine="482" w:firstLineChars="200"/>
        <w:jc w:val="left"/>
        <w:rPr>
          <w:rFonts w:hint="eastAsia" w:ascii="宋体" w:hAnsi="宋体" w:eastAsia="宋体" w:cs="宋体"/>
          <w:b/>
          <w:bCs/>
          <w:color w:val="000000" w:themeColor="text1"/>
          <w:szCs w:val="24"/>
          <w14:textFill>
            <w14:solidFill>
              <w14:schemeClr w14:val="tx1"/>
            </w14:solidFill>
          </w14:textFill>
        </w:rPr>
      </w:pPr>
      <w:bookmarkStart w:id="354" w:name="_Toc136173620"/>
      <w:bookmarkStart w:id="355" w:name="_Toc14750"/>
      <w:r>
        <w:rPr>
          <w:rFonts w:hint="eastAsia" w:ascii="宋体" w:hAnsi="宋体" w:eastAsia="宋体" w:cs="宋体"/>
          <w:b/>
          <w:bCs/>
          <w:color w:val="000000" w:themeColor="text1"/>
          <w:szCs w:val="24"/>
          <w14:textFill>
            <w14:solidFill>
              <w14:schemeClr w14:val="tx1"/>
            </w14:solidFill>
          </w14:textFill>
        </w:rPr>
        <w:t>详见附件4-1： 《飞灰固化处理服务合同》</w:t>
      </w:r>
      <w:bookmarkEnd w:id="8"/>
      <w:bookmarkEnd w:id="9"/>
      <w:bookmarkEnd w:id="10"/>
      <w:bookmarkEnd w:id="11"/>
      <w:bookmarkEnd w:id="12"/>
      <w:bookmarkEnd w:id="13"/>
      <w:bookmarkEnd w:id="14"/>
      <w:bookmarkEnd w:id="354"/>
      <w:bookmarkEnd w:id="355"/>
      <w:r>
        <w:rPr>
          <w:rFonts w:hint="eastAsia" w:ascii="宋体" w:hAnsi="宋体" w:eastAsia="宋体" w:cs="宋体"/>
          <w:b/>
          <w:bCs/>
          <w:color w:val="000000" w:themeColor="text1"/>
          <w:szCs w:val="24"/>
          <w14:textFill>
            <w14:solidFill>
              <w14:schemeClr w14:val="tx1"/>
            </w14:solidFill>
          </w14:textFill>
        </w:rPr>
        <w:t>、《飞灰固化处理技术规范书》</w:t>
      </w:r>
    </w:p>
    <w:p w14:paraId="12846F25">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7DA88746">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455A8868">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3D2FE0E9">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70D43065">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17518629">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2D9482ED">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356F8222">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11E0297F">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5FA4AA20">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4B1F8848">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13BC1943">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3221D06B">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564571BC">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41292378">
      <w:pPr>
        <w:pStyle w:val="2"/>
        <w:ind w:firstLine="240"/>
        <w:rPr>
          <w:rFonts w:hint="eastAsia" w:ascii="宋体" w:hAnsi="宋体" w:cs="宋体"/>
          <w:color w:val="000000" w:themeColor="text1"/>
          <w14:textFill>
            <w14:solidFill>
              <w14:schemeClr w14:val="tx1"/>
            </w14:solidFill>
          </w14:textFill>
        </w:rPr>
      </w:pPr>
    </w:p>
    <w:p w14:paraId="62429B31">
      <w:pPr>
        <w:pStyle w:val="2"/>
        <w:ind w:firstLine="240"/>
        <w:rPr>
          <w:rFonts w:hint="eastAsia" w:ascii="宋体" w:hAnsi="宋体" w:cs="宋体"/>
          <w:color w:val="000000" w:themeColor="text1"/>
          <w14:textFill>
            <w14:solidFill>
              <w14:schemeClr w14:val="tx1"/>
            </w14:solidFill>
          </w14:textFill>
        </w:rPr>
      </w:pPr>
    </w:p>
    <w:p w14:paraId="30489685">
      <w:pPr>
        <w:pStyle w:val="2"/>
        <w:ind w:firstLine="240"/>
        <w:rPr>
          <w:rFonts w:hint="eastAsia" w:ascii="宋体" w:hAnsi="宋体" w:cs="宋体"/>
          <w:color w:val="000000" w:themeColor="text1"/>
          <w14:textFill>
            <w14:solidFill>
              <w14:schemeClr w14:val="tx1"/>
            </w14:solidFill>
          </w14:textFill>
        </w:rPr>
      </w:pPr>
    </w:p>
    <w:p w14:paraId="6BC33F7C">
      <w:pPr>
        <w:pStyle w:val="2"/>
        <w:ind w:firstLine="240"/>
        <w:rPr>
          <w:rFonts w:hint="eastAsia" w:ascii="宋体" w:hAnsi="宋体" w:cs="宋体"/>
          <w:color w:val="000000" w:themeColor="text1"/>
          <w14:textFill>
            <w14:solidFill>
              <w14:schemeClr w14:val="tx1"/>
            </w14:solidFill>
          </w14:textFill>
        </w:rPr>
      </w:pPr>
    </w:p>
    <w:p w14:paraId="3C6769B7">
      <w:pPr>
        <w:autoSpaceDE w:val="0"/>
        <w:autoSpaceDN w:val="0"/>
        <w:spacing w:after="100" w:afterAutospacing="1" w:line="360" w:lineRule="auto"/>
        <w:jc w:val="center"/>
        <w:rPr>
          <w:rFonts w:hint="eastAsia" w:ascii="宋体" w:hAnsi="宋体" w:cs="宋体"/>
          <w:color w:val="000000" w:themeColor="text1"/>
          <w:szCs w:val="24"/>
          <w14:textFill>
            <w14:solidFill>
              <w14:schemeClr w14:val="tx1"/>
            </w14:solidFill>
          </w14:textFill>
        </w:rPr>
      </w:pPr>
    </w:p>
    <w:p w14:paraId="664F5A15">
      <w:pPr>
        <w:jc w:val="center"/>
        <w:rPr>
          <w:rFonts w:hint="eastAsia" w:ascii="宋体" w:hAnsi="宋体" w:eastAsia="宋体" w:cs="宋体"/>
          <w:b/>
          <w:bCs/>
          <w:szCs w:val="24"/>
        </w:rPr>
      </w:pPr>
      <w:r>
        <w:rPr>
          <w:rFonts w:hint="eastAsia" w:ascii="宋体" w:hAnsi="宋体" w:eastAsia="宋体" w:cs="宋体"/>
          <w:b/>
          <w:bCs/>
          <w:szCs w:val="24"/>
        </w:rPr>
        <w:t xml:space="preserve">                                            合同编号：</w:t>
      </w:r>
    </w:p>
    <w:p w14:paraId="0D3FD836">
      <w:pPr>
        <w:rPr>
          <w:rFonts w:hint="eastAsia" w:ascii="宋体" w:hAnsi="宋体" w:eastAsia="宋体" w:cs="宋体"/>
          <w:b/>
          <w:bCs/>
          <w:spacing w:val="-18"/>
        </w:rPr>
      </w:pPr>
    </w:p>
    <w:p w14:paraId="65563767">
      <w:pPr>
        <w:ind w:firstLine="5123" w:firstLineChars="2500"/>
        <w:jc w:val="right"/>
        <w:rPr>
          <w:rFonts w:hint="eastAsia" w:ascii="宋体" w:hAnsi="宋体" w:eastAsia="宋体" w:cs="宋体"/>
          <w:b/>
          <w:bCs/>
          <w:spacing w:val="-18"/>
        </w:rPr>
      </w:pPr>
    </w:p>
    <w:p w14:paraId="37985591">
      <w:pPr>
        <w:jc w:val="center"/>
        <w:rPr>
          <w:rFonts w:hint="eastAsia" w:ascii="宋体" w:hAnsi="宋体" w:eastAsia="宋体" w:cs="宋体"/>
          <w:b/>
          <w:bCs/>
          <w:sz w:val="52"/>
          <w:szCs w:val="52"/>
        </w:rPr>
      </w:pPr>
      <w:bookmarkStart w:id="356" w:name="_Toc136173621"/>
      <w:bookmarkStart w:id="357" w:name="_Toc3228"/>
      <w:r>
        <w:rPr>
          <w:rFonts w:hint="eastAsia" w:ascii="宋体" w:hAnsi="宋体" w:eastAsia="宋体" w:cs="宋体"/>
          <w:b/>
          <w:bCs/>
          <w:sz w:val="52"/>
          <w:szCs w:val="52"/>
        </w:rPr>
        <w:t>XXXX公司</w:t>
      </w:r>
    </w:p>
    <w:p w14:paraId="6A176BC6">
      <w:pPr>
        <w:jc w:val="center"/>
        <w:rPr>
          <w:rFonts w:hint="eastAsia" w:ascii="宋体" w:hAnsi="宋体" w:eastAsia="宋体" w:cs="宋体"/>
          <w:b/>
          <w:bCs/>
          <w:sz w:val="36"/>
          <w:szCs w:val="36"/>
        </w:rPr>
      </w:pPr>
    </w:p>
    <w:p w14:paraId="1F8E6B71">
      <w:pPr>
        <w:rPr>
          <w:rFonts w:hint="eastAsia" w:ascii="宋体" w:hAnsi="宋体" w:eastAsia="宋体" w:cs="宋体"/>
          <w:b/>
          <w:bCs/>
          <w:sz w:val="36"/>
          <w:szCs w:val="36"/>
        </w:rPr>
      </w:pPr>
    </w:p>
    <w:p w14:paraId="35BC7FBB">
      <w:pPr>
        <w:jc w:val="center"/>
        <w:rPr>
          <w:rFonts w:hint="eastAsia" w:ascii="宋体" w:hAnsi="宋体" w:eastAsia="宋体" w:cs="宋体"/>
          <w:b/>
          <w:bCs/>
          <w:sz w:val="36"/>
          <w:szCs w:val="36"/>
        </w:rPr>
      </w:pPr>
      <w:r>
        <w:rPr>
          <w:rFonts w:hint="eastAsia" w:ascii="宋体" w:hAnsi="宋体" w:eastAsia="宋体" w:cs="宋体"/>
          <w:b/>
          <w:bCs/>
          <w:sz w:val="48"/>
          <w:szCs w:val="48"/>
        </w:rPr>
        <w:t>飞灰固化处理服务合同</w:t>
      </w:r>
    </w:p>
    <w:p w14:paraId="1B7CECD2">
      <w:pPr>
        <w:jc w:val="center"/>
        <w:rPr>
          <w:rFonts w:hint="eastAsia" w:ascii="宋体" w:hAnsi="宋体" w:eastAsia="宋体" w:cs="宋体"/>
          <w:b/>
          <w:bCs/>
          <w:sz w:val="36"/>
          <w:szCs w:val="36"/>
        </w:rPr>
      </w:pPr>
    </w:p>
    <w:p w14:paraId="2295FD7F">
      <w:pPr>
        <w:jc w:val="center"/>
        <w:rPr>
          <w:rFonts w:hint="eastAsia" w:ascii="宋体" w:hAnsi="宋体" w:eastAsia="宋体" w:cs="宋体"/>
          <w:b/>
          <w:bCs/>
          <w:sz w:val="32"/>
          <w:szCs w:val="32"/>
        </w:rPr>
      </w:pPr>
    </w:p>
    <w:p w14:paraId="6F2AB65E">
      <w:r>
        <w:rPr>
          <w:rFonts w:hint="eastAsia"/>
        </w:rPr>
        <w:tab/>
      </w:r>
    </w:p>
    <w:p w14:paraId="54A32E0E"/>
    <w:p w14:paraId="132ABD4F"/>
    <w:p w14:paraId="69AD3A97"/>
    <w:p w14:paraId="35ADAA38"/>
    <w:p w14:paraId="6267E761"/>
    <w:p w14:paraId="4724678E"/>
    <w:p w14:paraId="5AA57AF7"/>
    <w:p w14:paraId="196B4168"/>
    <w:p w14:paraId="42B8E6EE"/>
    <w:p w14:paraId="4A80227C"/>
    <w:p w14:paraId="30B7C9B6"/>
    <w:p w14:paraId="15C21CB8"/>
    <w:p w14:paraId="52D46AE7"/>
    <w:p w14:paraId="3A15F244"/>
    <w:p w14:paraId="76FBE614"/>
    <w:p w14:paraId="38B68321"/>
    <w:p w14:paraId="4CD15830"/>
    <w:p w14:paraId="1631030E"/>
    <w:p w14:paraId="714EECDA"/>
    <w:p w14:paraId="7BE14CF2"/>
    <w:p w14:paraId="0D51D388">
      <w:pPr>
        <w:rPr>
          <w:sz w:val="28"/>
          <w:szCs w:val="28"/>
        </w:rPr>
      </w:pPr>
      <w:r>
        <w:rPr>
          <w:rFonts w:hint="eastAsia"/>
          <w:sz w:val="28"/>
          <w:szCs w:val="28"/>
        </w:rPr>
        <w:t xml:space="preserve">                项目：XXX发电项目</w:t>
      </w:r>
    </w:p>
    <w:p w14:paraId="172CC660">
      <w:pPr>
        <w:ind w:firstLine="2240" w:firstLineChars="800"/>
        <w:jc w:val="left"/>
        <w:rPr>
          <w:sz w:val="28"/>
          <w:szCs w:val="28"/>
        </w:rPr>
      </w:pPr>
      <w:r>
        <w:rPr>
          <w:rFonts w:hint="eastAsia"/>
          <w:sz w:val="28"/>
          <w:szCs w:val="28"/>
        </w:rPr>
        <w:t>甲方：</w:t>
      </w:r>
    </w:p>
    <w:p w14:paraId="2BC30CAB">
      <w:pPr>
        <w:ind w:firstLine="2240" w:firstLineChars="800"/>
        <w:jc w:val="left"/>
        <w:rPr>
          <w:sz w:val="28"/>
          <w:szCs w:val="28"/>
        </w:rPr>
      </w:pPr>
      <w:r>
        <w:rPr>
          <w:rFonts w:hint="eastAsia"/>
          <w:sz w:val="28"/>
          <w:szCs w:val="28"/>
        </w:rPr>
        <w:t>乙方：</w:t>
      </w:r>
    </w:p>
    <w:p w14:paraId="74C9D402">
      <w:pPr>
        <w:jc w:val="left"/>
        <w:rPr>
          <w:sz w:val="28"/>
          <w:szCs w:val="28"/>
        </w:rPr>
      </w:pPr>
    </w:p>
    <w:p w14:paraId="7DD75366">
      <w:pPr>
        <w:jc w:val="left"/>
        <w:rPr>
          <w:sz w:val="28"/>
          <w:szCs w:val="28"/>
        </w:rPr>
      </w:pPr>
    </w:p>
    <w:p w14:paraId="48A767DD"/>
    <w:p w14:paraId="59487435"/>
    <w:p w14:paraId="4B9EF6CF">
      <w:pPr>
        <w:pStyle w:val="2"/>
        <w:ind w:firstLine="240"/>
      </w:pPr>
    </w:p>
    <w:p w14:paraId="2C6F5012">
      <w:pPr>
        <w:pStyle w:val="2"/>
        <w:ind w:firstLine="240"/>
      </w:pPr>
    </w:p>
    <w:p w14:paraId="455F9975">
      <w:pPr>
        <w:pStyle w:val="2"/>
        <w:ind w:firstLine="240"/>
      </w:pPr>
    </w:p>
    <w:p w14:paraId="7F8EEBF3"/>
    <w:p w14:paraId="28FED04D"/>
    <w:p w14:paraId="5289D9BC"/>
    <w:p w14:paraId="0D72F13E"/>
    <w:p w14:paraId="0D9D993D"/>
    <w:p w14:paraId="720C7819">
      <w:pPr>
        <w:rPr>
          <w:rFonts w:hint="eastAsia" w:ascii="宋体" w:hAnsi="宋体" w:eastAsia="宋体" w:cs="宋体"/>
          <w:szCs w:val="24"/>
        </w:rPr>
      </w:pPr>
      <w:r>
        <w:rPr>
          <w:rFonts w:hint="eastAsia" w:ascii="宋体" w:hAnsi="宋体" w:eastAsia="宋体" w:cs="宋体"/>
          <w:szCs w:val="24"/>
        </w:rPr>
        <w:t>甲方：</w:t>
      </w:r>
    </w:p>
    <w:p w14:paraId="63684719">
      <w:pPr>
        <w:rPr>
          <w:rFonts w:hint="eastAsia" w:ascii="宋体" w:hAnsi="宋体" w:eastAsia="宋体" w:cs="宋体"/>
          <w:szCs w:val="24"/>
        </w:rPr>
      </w:pPr>
      <w:r>
        <w:rPr>
          <w:rFonts w:hint="eastAsia" w:ascii="宋体" w:hAnsi="宋体" w:eastAsia="宋体" w:cs="宋体"/>
          <w:szCs w:val="24"/>
        </w:rPr>
        <w:t xml:space="preserve">乙方：                   </w:t>
      </w:r>
    </w:p>
    <w:p w14:paraId="327C7934">
      <w:pPr>
        <w:rPr>
          <w:rFonts w:hint="eastAsia" w:ascii="宋体" w:hAnsi="宋体" w:eastAsia="宋体" w:cs="宋体"/>
          <w:szCs w:val="24"/>
        </w:rPr>
      </w:pPr>
      <w:r>
        <w:rPr>
          <w:rFonts w:hint="eastAsia" w:ascii="宋体" w:hAnsi="宋体" w:eastAsia="宋体" w:cs="宋体"/>
          <w:szCs w:val="24"/>
        </w:rPr>
        <w:t>鉴于甲方委托乙方承担XXX环保发电项目（以下简称“本项目”）飞灰固化处理服务，并支付服务报酬。根据《中华人民共和国合同法》及有关法律规定，双方遵循平等、自愿、公平和诚实信用的原则，协商一致，签订本合同，共同恪守。</w:t>
      </w:r>
    </w:p>
    <w:p w14:paraId="6C4281AD">
      <w:pPr>
        <w:rPr>
          <w:rFonts w:hint="eastAsia" w:ascii="宋体" w:hAnsi="宋体" w:eastAsia="宋体" w:cs="宋体"/>
          <w:b/>
          <w:bCs/>
          <w:szCs w:val="24"/>
        </w:rPr>
      </w:pPr>
      <w:r>
        <w:rPr>
          <w:rFonts w:hint="eastAsia" w:ascii="宋体" w:hAnsi="宋体" w:eastAsia="宋体" w:cs="宋体"/>
          <w:b/>
          <w:bCs/>
          <w:szCs w:val="24"/>
        </w:rPr>
        <w:t>一、项目地点及服务内容：</w:t>
      </w:r>
    </w:p>
    <w:p w14:paraId="4E75B61E">
      <w:pPr>
        <w:rPr>
          <w:rFonts w:hint="eastAsia" w:ascii="宋体" w:hAnsi="宋体" w:eastAsia="宋体" w:cs="宋体"/>
          <w:szCs w:val="24"/>
        </w:rPr>
      </w:pPr>
      <w:r>
        <w:rPr>
          <w:rFonts w:hint="eastAsia" w:ascii="宋体" w:hAnsi="宋体" w:eastAsia="宋体" w:cs="宋体"/>
          <w:szCs w:val="24"/>
        </w:rPr>
        <w:t>1.1 项目地点：XXX环保发电项目内。</w:t>
      </w:r>
    </w:p>
    <w:p w14:paraId="14D888E0">
      <w:pPr>
        <w:rPr>
          <w:rFonts w:hint="eastAsia" w:ascii="宋体" w:hAnsi="宋体" w:eastAsia="宋体" w:cs="宋体"/>
          <w:szCs w:val="24"/>
        </w:rPr>
      </w:pPr>
      <w:r>
        <w:rPr>
          <w:rFonts w:hint="eastAsia" w:ascii="宋体" w:hAnsi="宋体" w:eastAsia="宋体" w:cs="宋体"/>
          <w:szCs w:val="24"/>
        </w:rPr>
        <w:t>1.2 服务内容：乙方为甲方XXX环保发电项目生产运行过程中产生的飞灰提供固化综合处理服务，具体工作内容详见附件1：《飞灰固化处理技术规范书》（以下简称《技术规范书》）。</w:t>
      </w:r>
    </w:p>
    <w:p w14:paraId="5207A309">
      <w:pPr>
        <w:rPr>
          <w:rFonts w:hint="eastAsia" w:ascii="宋体" w:hAnsi="宋体" w:eastAsia="宋体" w:cs="宋体"/>
          <w:b/>
          <w:bCs/>
          <w:szCs w:val="24"/>
        </w:rPr>
      </w:pPr>
      <w:r>
        <w:rPr>
          <w:rFonts w:hint="eastAsia" w:ascii="宋体" w:hAnsi="宋体" w:eastAsia="宋体" w:cs="宋体"/>
          <w:b/>
          <w:bCs/>
          <w:szCs w:val="24"/>
        </w:rPr>
        <w:t>二、服务要求：</w:t>
      </w:r>
    </w:p>
    <w:p w14:paraId="0A0669D0">
      <w:pPr>
        <w:rPr>
          <w:rFonts w:hint="eastAsia" w:ascii="宋体" w:hAnsi="宋体" w:eastAsia="宋体" w:cs="宋体"/>
          <w:szCs w:val="24"/>
        </w:rPr>
      </w:pPr>
      <w:r>
        <w:rPr>
          <w:rFonts w:hint="eastAsia" w:ascii="宋体" w:hAnsi="宋体" w:eastAsia="宋体" w:cs="宋体"/>
          <w:szCs w:val="24"/>
        </w:rPr>
        <w:t>2.1 固化处理后的飞灰必须满足《生活垃圾填埋场污染物控制标准》（GB16889-2008）要求。</w:t>
      </w:r>
    </w:p>
    <w:p w14:paraId="3316065D">
      <w:pPr>
        <w:rPr>
          <w:rFonts w:hint="eastAsia" w:ascii="宋体" w:hAnsi="宋体" w:eastAsia="宋体" w:cs="宋体"/>
          <w:szCs w:val="24"/>
        </w:rPr>
      </w:pPr>
      <w:r>
        <w:rPr>
          <w:rFonts w:hint="eastAsia" w:ascii="宋体" w:hAnsi="宋体" w:eastAsia="宋体" w:cs="宋体"/>
          <w:szCs w:val="24"/>
        </w:rPr>
        <w:t>2.2 根据本项目实际情况，飞灰螯合物必须保证在厂内暂存十二个月后出库检测合格，达到外运填埋要求。</w:t>
      </w:r>
    </w:p>
    <w:p w14:paraId="6EFEE14B">
      <w:pPr>
        <w:rPr>
          <w:rFonts w:hint="eastAsia" w:ascii="宋体" w:hAnsi="宋体" w:eastAsia="宋体" w:cs="宋体"/>
          <w:szCs w:val="24"/>
        </w:rPr>
      </w:pPr>
      <w:r>
        <w:rPr>
          <w:rFonts w:hint="eastAsia" w:ascii="宋体" w:hAnsi="宋体" w:eastAsia="宋体" w:cs="宋体"/>
          <w:szCs w:val="24"/>
        </w:rPr>
        <w:t>2.4 乙方为本项目提供的药剂及吨袋等材料必须符合国家相关技术标准和要求。</w:t>
      </w:r>
    </w:p>
    <w:p w14:paraId="4315ED56">
      <w:pPr>
        <w:rPr>
          <w:rFonts w:hint="eastAsia" w:ascii="宋体" w:hAnsi="宋体" w:eastAsia="宋体" w:cs="宋体"/>
          <w:szCs w:val="24"/>
        </w:rPr>
      </w:pPr>
      <w:r>
        <w:rPr>
          <w:rFonts w:hint="eastAsia" w:ascii="宋体" w:hAnsi="宋体" w:eastAsia="宋体" w:cs="宋体"/>
          <w:szCs w:val="24"/>
        </w:rPr>
        <w:t>2.5 本合同及《技术规范书》未明确事项，乙方所提供的材料或服务必须符合国家或地方主管部门颁布的最新正式标准。</w:t>
      </w:r>
    </w:p>
    <w:p w14:paraId="3B3ED615">
      <w:pPr>
        <w:rPr>
          <w:rFonts w:hint="eastAsia" w:ascii="宋体" w:hAnsi="宋体" w:eastAsia="宋体" w:cs="宋体"/>
          <w:b/>
          <w:bCs/>
          <w:szCs w:val="24"/>
        </w:rPr>
      </w:pPr>
      <w:r>
        <w:rPr>
          <w:rFonts w:hint="eastAsia" w:ascii="宋体" w:hAnsi="宋体" w:eastAsia="宋体" w:cs="宋体"/>
          <w:b/>
          <w:bCs/>
          <w:szCs w:val="24"/>
        </w:rPr>
        <w:t>三、服务期限：</w:t>
      </w:r>
    </w:p>
    <w:p w14:paraId="74A7B54C">
      <w:pPr>
        <w:ind w:firstLine="480" w:firstLineChars="200"/>
        <w:rPr>
          <w:rFonts w:hint="eastAsia" w:ascii="宋体" w:hAnsi="宋体" w:eastAsia="宋体" w:cs="宋体"/>
          <w:szCs w:val="24"/>
        </w:rPr>
      </w:pPr>
      <w:r>
        <w:rPr>
          <w:rFonts w:hint="eastAsia" w:ascii="宋体" w:hAnsi="宋体" w:eastAsia="宋体" w:cs="宋体"/>
          <w:szCs w:val="24"/>
        </w:rPr>
        <w:t>服务期限为：2026年1月1日至2026年12月31日。</w:t>
      </w:r>
    </w:p>
    <w:p w14:paraId="60E3245C">
      <w:pPr>
        <w:rPr>
          <w:rFonts w:hint="eastAsia" w:ascii="宋体" w:hAnsi="宋体" w:eastAsia="宋体" w:cs="宋体"/>
          <w:b/>
          <w:bCs/>
          <w:szCs w:val="24"/>
        </w:rPr>
      </w:pPr>
      <w:r>
        <w:rPr>
          <w:rFonts w:hint="eastAsia" w:ascii="宋体" w:hAnsi="宋体" w:eastAsia="宋体" w:cs="宋体"/>
          <w:b/>
          <w:bCs/>
          <w:szCs w:val="24"/>
        </w:rPr>
        <w:t>四、合同价款与支付：</w:t>
      </w:r>
    </w:p>
    <w:p w14:paraId="04F6D217">
      <w:pPr>
        <w:rPr>
          <w:rFonts w:hint="eastAsia" w:ascii="宋体" w:hAnsi="宋体" w:eastAsia="宋体" w:cs="宋体"/>
          <w:szCs w:val="24"/>
        </w:rPr>
      </w:pPr>
      <w:r>
        <w:rPr>
          <w:rFonts w:hint="eastAsia" w:ascii="宋体" w:hAnsi="宋体" w:eastAsia="宋体" w:cs="宋体"/>
          <w:szCs w:val="24"/>
        </w:rPr>
        <w:t xml:space="preserve">4.1 本项目飞灰固化处理费用按固定单价方式结算，固定单价不因市场价格波动及其他政策性文件的变化等而调整。本项目飞灰固化处理费用固定单价为（含税）：     元/吨。  </w:t>
      </w:r>
    </w:p>
    <w:p w14:paraId="0BE668B7">
      <w:pPr>
        <w:rPr>
          <w:rFonts w:hint="eastAsia" w:ascii="宋体" w:hAnsi="宋体" w:eastAsia="宋体" w:cs="宋体"/>
          <w:szCs w:val="24"/>
        </w:rPr>
      </w:pPr>
      <w:r>
        <w:rPr>
          <w:rFonts w:hint="eastAsia" w:ascii="宋体" w:hAnsi="宋体" w:eastAsia="宋体" w:cs="宋体"/>
          <w:szCs w:val="24"/>
        </w:rPr>
        <w:t xml:space="preserve">暂定合同总价（含税）：      元/年   大写：      元人民币/年。 </w:t>
      </w:r>
    </w:p>
    <w:p w14:paraId="214BFC57">
      <w:pPr>
        <w:rPr>
          <w:rFonts w:hint="eastAsia" w:ascii="宋体" w:hAnsi="宋体" w:eastAsia="宋体" w:cs="宋体"/>
          <w:szCs w:val="24"/>
        </w:rPr>
      </w:pPr>
      <w:r>
        <w:rPr>
          <w:rFonts w:hint="eastAsia" w:ascii="宋体" w:hAnsi="宋体" w:eastAsia="宋体" w:cs="宋体"/>
          <w:szCs w:val="24"/>
        </w:rPr>
        <w:t>备注：①每年飞灰固化处理量暂按11000吨计算；最终飞灰固化处理费用按经甲方确认的飞灰螯合物重量据实结算。</w:t>
      </w:r>
    </w:p>
    <w:p w14:paraId="7B1C507F">
      <w:pPr>
        <w:rPr>
          <w:rFonts w:hint="eastAsia" w:ascii="宋体" w:hAnsi="宋体" w:eastAsia="宋体" w:cs="宋体"/>
          <w:szCs w:val="24"/>
          <w:highlight w:val="green"/>
        </w:rPr>
      </w:pPr>
      <w:r>
        <w:rPr>
          <w:rFonts w:hint="eastAsia" w:ascii="宋体" w:hAnsi="宋体" w:eastAsia="宋体" w:cs="宋体"/>
          <w:szCs w:val="24"/>
          <w:highlight w:val="green"/>
        </w:rPr>
        <w:t>②所有费用税率为13%。</w:t>
      </w:r>
    </w:p>
    <w:p w14:paraId="08490F80">
      <w:pPr>
        <w:rPr>
          <w:rFonts w:hint="eastAsia" w:ascii="宋体" w:hAnsi="宋体" w:eastAsia="宋体" w:cs="宋体"/>
          <w:szCs w:val="24"/>
        </w:rPr>
      </w:pPr>
      <w:r>
        <w:rPr>
          <w:rFonts w:hint="eastAsia" w:ascii="宋体" w:hAnsi="宋体" w:eastAsia="宋体" w:cs="宋体"/>
          <w:szCs w:val="24"/>
        </w:rPr>
        <w:t>固定单价包括但不限于：人工费（含叉车司机）、厂内运输转运费（含叉车/板车、燃料、保养等）、材料费（吨袋、药剂、维保材料等）、设备维保费（含因乙方原因导致设备损坏维修、零件备件更换费用）、工器具费、交通差旅费、食宿费、劳保用品费、外部协调费、保险费、职业健康体检费、企业管理费、各类检测检验费、安全文明和技术措施费、利润、税费等为完成《技术规范书》和国家规范规定的所有工作内容所需的费用。</w:t>
      </w:r>
    </w:p>
    <w:p w14:paraId="75E4629C">
      <w:pPr>
        <w:rPr>
          <w:rFonts w:hint="eastAsia" w:ascii="宋体" w:hAnsi="宋体" w:eastAsia="宋体" w:cs="宋体"/>
          <w:szCs w:val="24"/>
        </w:rPr>
      </w:pPr>
      <w:r>
        <w:rPr>
          <w:rFonts w:hint="eastAsia" w:ascii="宋体" w:hAnsi="宋体" w:eastAsia="宋体" w:cs="宋体"/>
          <w:szCs w:val="24"/>
        </w:rPr>
        <w:t>4.2 支付方式：</w:t>
      </w:r>
    </w:p>
    <w:p w14:paraId="55A7F4F4">
      <w:pPr>
        <w:rPr>
          <w:rFonts w:hint="eastAsia" w:ascii="宋体" w:hAnsi="宋体" w:eastAsia="宋体" w:cs="宋体"/>
          <w:szCs w:val="24"/>
        </w:rPr>
      </w:pPr>
      <w:r>
        <w:rPr>
          <w:rFonts w:hint="eastAsia" w:ascii="宋体" w:hAnsi="宋体" w:eastAsia="宋体" w:cs="宋体"/>
          <w:szCs w:val="24"/>
        </w:rPr>
        <w:t>4.2.1 本项目合同价款以月度为支付节点。每月5日（国家法定节假日顺延），乙方将上月经双方签证认可的飞灰螯合物重量统计表及等额有效的增值税发票汇总报送甲方。甲方自收到乙方提交的结算单据并确认支付金额后的20个工作日内向乙方支付上月的飞灰固化处理费用。如乙方未按甲方要求提供上述结算单据，甲方有权拒绝办理月度结算和付款。</w:t>
      </w:r>
    </w:p>
    <w:p w14:paraId="276D1F44">
      <w:pPr>
        <w:rPr>
          <w:rFonts w:hint="eastAsia" w:ascii="宋体" w:hAnsi="宋体" w:eastAsia="宋体" w:cs="宋体"/>
          <w:szCs w:val="24"/>
        </w:rPr>
      </w:pPr>
      <w:r>
        <w:rPr>
          <w:rFonts w:hint="eastAsia" w:ascii="宋体" w:hAnsi="宋体" w:eastAsia="宋体" w:cs="宋体"/>
          <w:szCs w:val="24"/>
        </w:rPr>
        <w:t xml:space="preserve">4.2.2 </w:t>
      </w:r>
      <w:r>
        <w:rPr>
          <w:rFonts w:hint="eastAsia" w:ascii="宋体" w:hAnsi="宋体" w:eastAsia="宋体" w:cs="宋体"/>
          <w:szCs w:val="24"/>
          <w:highlight w:val="green"/>
        </w:rPr>
        <w:t>本合同签订生效后5个工作日内，乙方应向甲方缴纳履约保证金300000元（大写：叁拾万元人民币整）</w:t>
      </w:r>
      <w:r>
        <w:rPr>
          <w:rFonts w:hint="eastAsia" w:ascii="宋体" w:hAnsi="宋体" w:eastAsia="宋体" w:cs="宋体"/>
          <w:szCs w:val="24"/>
        </w:rPr>
        <w:t>。</w:t>
      </w:r>
    </w:p>
    <w:p w14:paraId="20553964">
      <w:pPr>
        <w:ind w:firstLine="480" w:firstLineChars="200"/>
        <w:rPr>
          <w:rFonts w:hint="eastAsia" w:ascii="宋体" w:hAnsi="宋体" w:eastAsia="宋体" w:cs="宋体"/>
          <w:szCs w:val="24"/>
        </w:rPr>
      </w:pPr>
      <w:r>
        <w:rPr>
          <w:rFonts w:hint="eastAsia" w:ascii="宋体" w:hAnsi="宋体" w:eastAsia="宋体" w:cs="宋体"/>
          <w:szCs w:val="24"/>
        </w:rPr>
        <w:t>本合同履行过程中，乙方如出现应承担违约责任的事项，甲方有权在履约保证金中扣除相应金额。本合同履行完毕后，甲方在支付合同期内最后一个月的合同价款时，将剩余履约保证金（如有）一并无息支付乙方。如履约保证金金额不足以弥补乙方应承担的违约责任的，甲方有权从应支付给乙方的合同价款中扣除，仍不足部分，甲方有权继续向乙方追偿。</w:t>
      </w:r>
    </w:p>
    <w:p w14:paraId="008761F6">
      <w:pPr>
        <w:ind w:firstLine="480" w:firstLineChars="200"/>
        <w:rPr>
          <w:rFonts w:hint="eastAsia" w:ascii="宋体" w:hAnsi="宋体" w:eastAsia="宋体" w:cs="宋体"/>
          <w:szCs w:val="24"/>
        </w:rPr>
      </w:pPr>
      <w:r>
        <w:rPr>
          <w:rFonts w:hint="eastAsia" w:ascii="宋体" w:hAnsi="宋体" w:eastAsia="宋体" w:cs="宋体"/>
          <w:szCs w:val="24"/>
        </w:rPr>
        <w:t>4.2.3 支付方式</w:t>
      </w:r>
    </w:p>
    <w:p w14:paraId="64C5C96C">
      <w:pPr>
        <w:ind w:firstLine="480" w:firstLineChars="200"/>
        <w:rPr>
          <w:rFonts w:hint="eastAsia" w:ascii="宋体" w:hAnsi="宋体" w:eastAsia="宋体" w:cs="宋体"/>
          <w:szCs w:val="24"/>
        </w:rPr>
      </w:pPr>
      <w:r>
        <w:rPr>
          <w:rFonts w:hint="eastAsia" w:ascii="宋体" w:hAnsi="宋体" w:eastAsia="宋体" w:cs="宋体"/>
          <w:szCs w:val="24"/>
        </w:rPr>
        <w:t>（1）每月预结算以螯合固化处理达标的飞灰稳定固化物磅单（养护间养护合格后转移至暂存间的入库磅单为准）以及飞灰无害化处理生产统计台帐及处理指标检测合格报告作为结算依据，计量装置以甲方厂区内地磅为准，甲方双方共同确认重量后每月按此办理飞灰稳定固化物90%结算。</w:t>
      </w:r>
    </w:p>
    <w:p w14:paraId="12CD10C6">
      <w:pPr>
        <w:ind w:firstLine="480" w:firstLineChars="200"/>
        <w:rPr>
          <w:rFonts w:hint="eastAsia" w:ascii="宋体" w:hAnsi="宋体" w:eastAsia="宋体" w:cs="宋体"/>
          <w:szCs w:val="24"/>
        </w:rPr>
      </w:pPr>
      <w:r>
        <w:rPr>
          <w:rFonts w:hint="eastAsia" w:ascii="宋体" w:hAnsi="宋体" w:eastAsia="宋体" w:cs="宋体"/>
          <w:szCs w:val="24"/>
        </w:rPr>
        <w:t>每月预结算价款=固定综合处理单价×每月飞灰稳定固化物磅单总量×90%</w:t>
      </w:r>
    </w:p>
    <w:p w14:paraId="60094761">
      <w:pPr>
        <w:ind w:firstLine="480" w:firstLineChars="200"/>
        <w:rPr>
          <w:rFonts w:hint="eastAsia" w:ascii="宋体" w:hAnsi="宋体" w:eastAsia="宋体" w:cs="宋体"/>
          <w:szCs w:val="24"/>
        </w:rPr>
      </w:pPr>
      <w:r>
        <w:rPr>
          <w:rFonts w:hint="eastAsia" w:ascii="宋体" w:hAnsi="宋体" w:eastAsia="宋体" w:cs="宋体"/>
          <w:szCs w:val="24"/>
        </w:rPr>
        <w:t>最终结算以甲方双方确认的第三方转运单位每月飞灰稳定固化物出厂填埋的过磅重量办理最终结算。</w:t>
      </w:r>
    </w:p>
    <w:p w14:paraId="5F045111">
      <w:pPr>
        <w:ind w:firstLine="480" w:firstLineChars="200"/>
        <w:rPr>
          <w:rFonts w:hint="eastAsia" w:ascii="宋体" w:hAnsi="宋体" w:eastAsia="宋体" w:cs="宋体"/>
          <w:szCs w:val="24"/>
        </w:rPr>
      </w:pPr>
      <w:r>
        <w:rPr>
          <w:rFonts w:hint="eastAsia" w:ascii="宋体" w:hAnsi="宋体" w:eastAsia="宋体" w:cs="宋体"/>
          <w:szCs w:val="24"/>
        </w:rPr>
        <w:t>最终结算价款=固定综合处理单价×飞灰稳定固化物出厂填埋的过磅重量。</w:t>
      </w:r>
    </w:p>
    <w:p w14:paraId="43A6EA8B">
      <w:pPr>
        <w:rPr>
          <w:rFonts w:hint="eastAsia" w:ascii="宋体" w:hAnsi="宋体" w:eastAsia="宋体" w:cs="宋体"/>
          <w:szCs w:val="24"/>
        </w:rPr>
      </w:pPr>
      <w:r>
        <w:rPr>
          <w:rFonts w:hint="eastAsia" w:ascii="宋体" w:hAnsi="宋体" w:eastAsia="宋体" w:cs="宋体"/>
          <w:szCs w:val="24"/>
        </w:rPr>
        <w:t>4.3 本合同全部价款，甲方以下述方式向乙方支付，乙方银行账户信息如下：</w:t>
      </w:r>
    </w:p>
    <w:p w14:paraId="7580A984">
      <w:pPr>
        <w:rPr>
          <w:rFonts w:hint="eastAsia" w:ascii="宋体" w:hAnsi="宋体" w:eastAsia="宋体" w:cs="宋体"/>
          <w:szCs w:val="24"/>
        </w:rPr>
      </w:pPr>
      <w:r>
        <w:rPr>
          <w:rFonts w:hint="eastAsia" w:ascii="宋体" w:hAnsi="宋体" w:eastAsia="宋体" w:cs="宋体"/>
          <w:szCs w:val="24"/>
        </w:rPr>
        <w:t>开户银行：</w:t>
      </w:r>
    </w:p>
    <w:p w14:paraId="63F410AE">
      <w:pPr>
        <w:rPr>
          <w:rFonts w:hint="eastAsia" w:ascii="宋体" w:hAnsi="宋体" w:eastAsia="宋体" w:cs="宋体"/>
          <w:szCs w:val="24"/>
        </w:rPr>
      </w:pPr>
      <w:r>
        <w:rPr>
          <w:rFonts w:hint="eastAsia" w:ascii="宋体" w:hAnsi="宋体" w:eastAsia="宋体" w:cs="宋体"/>
          <w:szCs w:val="24"/>
        </w:rPr>
        <w:t>开户名：</w:t>
      </w:r>
    </w:p>
    <w:p w14:paraId="2530DA6C">
      <w:pPr>
        <w:rPr>
          <w:rFonts w:hint="eastAsia" w:ascii="宋体" w:hAnsi="宋体" w:eastAsia="宋体" w:cs="宋体"/>
          <w:szCs w:val="24"/>
        </w:rPr>
      </w:pPr>
      <w:r>
        <w:rPr>
          <w:rFonts w:hint="eastAsia" w:ascii="宋体" w:hAnsi="宋体" w:eastAsia="宋体" w:cs="宋体"/>
          <w:szCs w:val="24"/>
        </w:rPr>
        <w:t>银行账号：</w:t>
      </w:r>
    </w:p>
    <w:p w14:paraId="5E383AB2">
      <w:pPr>
        <w:rPr>
          <w:rFonts w:hint="eastAsia" w:ascii="宋体" w:hAnsi="宋体" w:eastAsia="宋体" w:cs="宋体"/>
          <w:szCs w:val="24"/>
        </w:rPr>
      </w:pPr>
      <w:r>
        <w:rPr>
          <w:rFonts w:hint="eastAsia" w:ascii="宋体" w:hAnsi="宋体" w:eastAsia="宋体" w:cs="宋体"/>
          <w:szCs w:val="24"/>
        </w:rPr>
        <w:t xml:space="preserve">支付方式：选择使用【 ② 】 </w:t>
      </w:r>
    </w:p>
    <w:p w14:paraId="2E30BA39">
      <w:pPr>
        <w:rPr>
          <w:rFonts w:hint="eastAsia" w:ascii="宋体" w:hAnsi="宋体" w:eastAsia="宋体" w:cs="宋体"/>
          <w:szCs w:val="24"/>
        </w:rPr>
      </w:pPr>
      <w:r>
        <w:rPr>
          <w:rFonts w:hint="eastAsia" w:ascii="宋体" w:hAnsi="宋体" w:eastAsia="宋体" w:cs="宋体"/>
          <w:szCs w:val="24"/>
        </w:rPr>
        <w:t>①银行承兑汇票支付 ②银行转账 ③银行承兑汇票优先支付</w:t>
      </w:r>
    </w:p>
    <w:p w14:paraId="1E64E457">
      <w:pPr>
        <w:rPr>
          <w:rFonts w:hint="eastAsia" w:ascii="宋体" w:hAnsi="宋体" w:eastAsia="宋体" w:cs="宋体"/>
          <w:szCs w:val="24"/>
        </w:rPr>
      </w:pPr>
      <w:r>
        <w:rPr>
          <w:rFonts w:hint="eastAsia" w:ascii="宋体" w:hAnsi="宋体" w:eastAsia="宋体" w:cs="宋体"/>
          <w:szCs w:val="24"/>
        </w:rPr>
        <w:t>4.4</w:t>
      </w:r>
      <w:r>
        <w:rPr>
          <w:rFonts w:hint="eastAsia" w:ascii="宋体" w:hAnsi="宋体" w:eastAsia="宋体" w:cs="宋体"/>
          <w:szCs w:val="24"/>
          <w:highlight w:val="green"/>
        </w:rPr>
        <w:t xml:space="preserve"> 计税模式：税率为13%。</w:t>
      </w:r>
    </w:p>
    <w:p w14:paraId="1F98A9F6">
      <w:pPr>
        <w:rPr>
          <w:rFonts w:hint="eastAsia" w:ascii="宋体" w:hAnsi="宋体" w:eastAsia="宋体" w:cs="宋体"/>
          <w:szCs w:val="24"/>
        </w:rPr>
      </w:pPr>
      <w:r>
        <w:rPr>
          <w:rFonts w:hint="eastAsia" w:ascii="宋体" w:hAnsi="宋体" w:eastAsia="宋体" w:cs="宋体"/>
          <w:szCs w:val="24"/>
        </w:rPr>
        <w:t>4.5 发票开具与相关约定：</w:t>
      </w:r>
    </w:p>
    <w:p w14:paraId="3EBCF95D">
      <w:pPr>
        <w:rPr>
          <w:rFonts w:hint="eastAsia" w:ascii="宋体" w:hAnsi="宋体" w:eastAsia="宋体" w:cs="宋体"/>
          <w:szCs w:val="24"/>
        </w:rPr>
      </w:pPr>
      <w:r>
        <w:rPr>
          <w:rFonts w:hint="eastAsia" w:ascii="宋体" w:hAnsi="宋体" w:eastAsia="宋体" w:cs="宋体"/>
          <w:szCs w:val="24"/>
        </w:rPr>
        <w:t xml:space="preserve">①　乙方属于以下类型的哪一种，请在适用的类型前勾选“√”。  </w:t>
      </w:r>
    </w:p>
    <w:p w14:paraId="72B74B0F">
      <w:pPr>
        <w:rPr>
          <w:rFonts w:hint="eastAsia" w:ascii="宋体" w:hAnsi="宋体" w:eastAsia="宋体" w:cs="宋体"/>
          <w:szCs w:val="24"/>
        </w:rPr>
      </w:pPr>
      <w:r>
        <w:rPr>
          <w:rFonts w:hint="eastAsia" w:ascii="宋体" w:hAnsi="宋体" w:eastAsia="宋体" w:cs="宋体"/>
          <w:szCs w:val="24"/>
        </w:rPr>
        <w:t>增值税一般纳税人；小规模纳税人；个体工商户；其他。</w:t>
      </w:r>
    </w:p>
    <w:p w14:paraId="7CC77C53">
      <w:pPr>
        <w:rPr>
          <w:rFonts w:hint="eastAsia" w:ascii="宋体" w:hAnsi="宋体" w:eastAsia="宋体" w:cs="宋体"/>
          <w:szCs w:val="24"/>
        </w:rPr>
      </w:pPr>
      <w:r>
        <w:rPr>
          <w:rFonts w:hint="eastAsia" w:ascii="宋体" w:hAnsi="宋体" w:eastAsia="宋体" w:cs="宋体"/>
          <w:szCs w:val="24"/>
        </w:rPr>
        <w:t>②　乙方所开具的发票必须是签订合同单位的正规的税率为13%（药剂及吨袋）或6%（其余服务）的增值税专用发票，并承担因发票原因引起的一切法律责任及经济损失而且不能免除其重新开具合法发票的义务。乙方在收取每笔款项前需提供发票予甲方，以便甲方办理合同款支付。</w:t>
      </w:r>
    </w:p>
    <w:p w14:paraId="0BF9825A">
      <w:pPr>
        <w:rPr>
          <w:rFonts w:hint="eastAsia" w:ascii="宋体" w:hAnsi="宋体" w:eastAsia="宋体" w:cs="宋体"/>
          <w:szCs w:val="24"/>
        </w:rPr>
      </w:pPr>
      <w:r>
        <w:rPr>
          <w:rFonts w:hint="eastAsia" w:ascii="宋体" w:hAnsi="宋体" w:eastAsia="宋体" w:cs="宋体"/>
          <w:szCs w:val="24"/>
        </w:rPr>
        <w:t>③　如因退货等行为涉及到开具红字增值税发票的行为，乙方需要履行协助开具义务。</w:t>
      </w:r>
    </w:p>
    <w:p w14:paraId="7E0A7675">
      <w:pPr>
        <w:rPr>
          <w:rFonts w:hint="eastAsia" w:ascii="宋体" w:hAnsi="宋体" w:eastAsia="宋体" w:cs="宋体"/>
          <w:szCs w:val="24"/>
        </w:rPr>
      </w:pPr>
      <w:r>
        <w:rPr>
          <w:rFonts w:hint="eastAsia" w:ascii="宋体" w:hAnsi="宋体" w:eastAsia="宋体" w:cs="宋体"/>
          <w:szCs w:val="24"/>
        </w:rPr>
        <w:t>④　如在执行合同过程中，涉及乙方重大信息变更，如税务登记变更、公司名称、实际经营地址、联系电话等，应在10 日内及时告知甲方变更情况，并提供相关纸质或电子信息资料。</w:t>
      </w:r>
    </w:p>
    <w:p w14:paraId="726F5672">
      <w:pPr>
        <w:rPr>
          <w:rFonts w:hint="eastAsia" w:ascii="宋体" w:hAnsi="宋体" w:eastAsia="宋体" w:cs="宋体"/>
          <w:szCs w:val="24"/>
        </w:rPr>
      </w:pPr>
      <w:r>
        <w:rPr>
          <w:rFonts w:hint="eastAsia" w:ascii="宋体" w:hAnsi="宋体" w:eastAsia="宋体" w:cs="宋体"/>
          <w:szCs w:val="24"/>
        </w:rPr>
        <w:t>⑤　合同履行过程中，若遇国家调整增值税税率的，对尚未结算部分的合同价款，则应按调整后的增值税税率计算增值税额并办理结算，即结算价款=不含税价款×（1+新税率），双方对此无异议。</w:t>
      </w:r>
    </w:p>
    <w:p w14:paraId="34543BA4">
      <w:pPr>
        <w:rPr>
          <w:rFonts w:hint="eastAsia" w:ascii="宋体" w:hAnsi="宋体" w:eastAsia="宋体" w:cs="宋体"/>
          <w:b/>
          <w:bCs/>
          <w:szCs w:val="24"/>
        </w:rPr>
      </w:pPr>
      <w:r>
        <w:rPr>
          <w:rFonts w:hint="eastAsia" w:ascii="宋体" w:hAnsi="宋体" w:eastAsia="宋体" w:cs="宋体"/>
          <w:b/>
          <w:bCs/>
          <w:szCs w:val="24"/>
        </w:rPr>
        <w:t>五、验收：</w:t>
      </w:r>
    </w:p>
    <w:p w14:paraId="1E80CF88">
      <w:pPr>
        <w:rPr>
          <w:rFonts w:hint="eastAsia" w:ascii="宋体" w:hAnsi="宋体" w:eastAsia="宋体" w:cs="宋体"/>
          <w:szCs w:val="24"/>
        </w:rPr>
      </w:pPr>
      <w:r>
        <w:rPr>
          <w:rFonts w:hint="eastAsia" w:ascii="宋体" w:hAnsi="宋体" w:eastAsia="宋体" w:cs="宋体"/>
          <w:szCs w:val="24"/>
        </w:rPr>
        <w:t>5.1 合同履行过程中，甲方将对螯合处理后的飞灰进行取样检验（包括委托第三方进行检验），并将质量检验结果及时通知乙方，该质量检验结果为合同价款结算的依据之一。</w:t>
      </w:r>
    </w:p>
    <w:p w14:paraId="4EA65CC9">
      <w:pPr>
        <w:rPr>
          <w:rFonts w:hint="eastAsia" w:ascii="宋体" w:hAnsi="宋体" w:eastAsia="宋体" w:cs="宋体"/>
          <w:szCs w:val="24"/>
        </w:rPr>
      </w:pPr>
      <w:r>
        <w:rPr>
          <w:rFonts w:hint="eastAsia" w:ascii="宋体" w:hAnsi="宋体" w:eastAsia="宋体" w:cs="宋体"/>
          <w:szCs w:val="24"/>
        </w:rPr>
        <w:t>5.2 如乙方对甲方提供的质量检验结果持有异议并认为需要重新检验时，经双方协商同意后共同派人重新取样封存，并送甲方所在地质量技术监督部门的质检机构进行质量检验。双方同意最终以该质检机构的检验结果为结算依据，如检验结果合格，检测费用由甲方承担，检验不合格，检测费用由乙方承担。</w:t>
      </w:r>
    </w:p>
    <w:p w14:paraId="5F4276B1">
      <w:pPr>
        <w:rPr>
          <w:rFonts w:hint="eastAsia" w:ascii="宋体" w:hAnsi="宋体" w:eastAsia="宋体" w:cs="宋体"/>
          <w:szCs w:val="24"/>
        </w:rPr>
      </w:pPr>
      <w:r>
        <w:rPr>
          <w:rFonts w:hint="eastAsia" w:ascii="宋体" w:hAnsi="宋体" w:eastAsia="宋体" w:cs="宋体"/>
          <w:szCs w:val="24"/>
        </w:rPr>
        <w:t>5.3 乙方对质量检验结果提出异议的期限为：甲方质量检验结果告知乙方的两个工作日内。逾期未提出的，视作无异议。</w:t>
      </w:r>
    </w:p>
    <w:p w14:paraId="13D03ED1">
      <w:pPr>
        <w:rPr>
          <w:rFonts w:hint="eastAsia" w:ascii="宋体" w:hAnsi="宋体" w:eastAsia="宋体" w:cs="宋体"/>
          <w:b/>
          <w:bCs/>
          <w:szCs w:val="24"/>
        </w:rPr>
      </w:pPr>
      <w:r>
        <w:rPr>
          <w:rFonts w:hint="eastAsia" w:ascii="宋体" w:hAnsi="宋体" w:eastAsia="宋体" w:cs="宋体"/>
          <w:b/>
          <w:bCs/>
          <w:szCs w:val="24"/>
        </w:rPr>
        <w:t>六、知识产权和保密：</w:t>
      </w:r>
    </w:p>
    <w:p w14:paraId="37069B96">
      <w:pPr>
        <w:rPr>
          <w:rFonts w:hint="eastAsia" w:ascii="宋体" w:hAnsi="宋体" w:eastAsia="宋体" w:cs="宋体"/>
          <w:szCs w:val="24"/>
        </w:rPr>
      </w:pPr>
      <w:r>
        <w:rPr>
          <w:rFonts w:hint="eastAsia" w:ascii="宋体" w:hAnsi="宋体" w:eastAsia="宋体" w:cs="宋体"/>
          <w:szCs w:val="24"/>
        </w:rPr>
        <w:t>6.1 本合同下咨询成果文件的知识产权归甲方所有。</w:t>
      </w:r>
    </w:p>
    <w:p w14:paraId="138BA429">
      <w:pPr>
        <w:rPr>
          <w:rFonts w:hint="eastAsia" w:ascii="宋体" w:hAnsi="宋体" w:eastAsia="宋体" w:cs="宋体"/>
          <w:szCs w:val="24"/>
        </w:rPr>
      </w:pPr>
      <w:r>
        <w:rPr>
          <w:rFonts w:hint="eastAsia" w:ascii="宋体" w:hAnsi="宋体" w:eastAsia="宋体" w:cs="宋体"/>
          <w:szCs w:val="24"/>
        </w:rPr>
        <w:t>6.2 双方对本合同和与之有关的任何内容负有保密义务。本约定在本合同终止后继续有效。</w:t>
      </w:r>
    </w:p>
    <w:p w14:paraId="6F256420">
      <w:pPr>
        <w:rPr>
          <w:rFonts w:hint="eastAsia" w:ascii="宋体" w:hAnsi="宋体" w:eastAsia="宋体" w:cs="宋体"/>
          <w:szCs w:val="24"/>
        </w:rPr>
      </w:pPr>
      <w:r>
        <w:rPr>
          <w:rFonts w:hint="eastAsia" w:ascii="宋体" w:hAnsi="宋体" w:eastAsia="宋体" w:cs="宋体"/>
          <w:szCs w:val="24"/>
        </w:rPr>
        <w:t>6.3 双方不得将对方提供的资料用于本合同以外的目的，并应在本合同履行完毕后及时向对方归还或按照对方指示销毁所有对方提供的资料。</w:t>
      </w:r>
    </w:p>
    <w:p w14:paraId="087F186A">
      <w:pPr>
        <w:rPr>
          <w:rFonts w:hint="eastAsia" w:ascii="宋体" w:hAnsi="宋体" w:eastAsia="宋体" w:cs="宋体"/>
          <w:b/>
          <w:bCs/>
          <w:szCs w:val="24"/>
        </w:rPr>
      </w:pPr>
      <w:r>
        <w:rPr>
          <w:rFonts w:hint="eastAsia" w:ascii="宋体" w:hAnsi="宋体" w:eastAsia="宋体" w:cs="宋体"/>
          <w:b/>
          <w:bCs/>
          <w:szCs w:val="24"/>
        </w:rPr>
        <w:t>七、甲方的权利和义务：</w:t>
      </w:r>
    </w:p>
    <w:p w14:paraId="0ED8467E">
      <w:pPr>
        <w:rPr>
          <w:rFonts w:hint="eastAsia" w:ascii="宋体" w:hAnsi="宋体" w:eastAsia="宋体" w:cs="宋体"/>
          <w:szCs w:val="24"/>
        </w:rPr>
      </w:pPr>
      <w:r>
        <w:rPr>
          <w:rFonts w:hint="eastAsia" w:ascii="宋体" w:hAnsi="宋体" w:eastAsia="宋体" w:cs="宋体"/>
          <w:szCs w:val="24"/>
        </w:rPr>
        <w:t>7.1 提供飞灰稳定化系统及设备，飞灰稳定固化后供养护可防雨的临时场地。</w:t>
      </w:r>
    </w:p>
    <w:p w14:paraId="1A151B27">
      <w:pPr>
        <w:rPr>
          <w:rFonts w:hint="eastAsia" w:ascii="宋体" w:hAnsi="宋体" w:eastAsia="宋体" w:cs="宋体"/>
          <w:szCs w:val="24"/>
        </w:rPr>
      </w:pPr>
      <w:r>
        <w:rPr>
          <w:rFonts w:hint="eastAsia" w:ascii="宋体" w:hAnsi="宋体" w:eastAsia="宋体" w:cs="宋体"/>
          <w:szCs w:val="24"/>
        </w:rPr>
        <w:t>7.2 按合同约定向乙方支付合同价款。</w:t>
      </w:r>
    </w:p>
    <w:p w14:paraId="36BF76AB">
      <w:pPr>
        <w:rPr>
          <w:rFonts w:hint="eastAsia" w:ascii="宋体" w:hAnsi="宋体" w:eastAsia="宋体" w:cs="宋体"/>
          <w:szCs w:val="24"/>
        </w:rPr>
      </w:pPr>
      <w:r>
        <w:rPr>
          <w:rFonts w:hint="eastAsia" w:ascii="宋体" w:hAnsi="宋体" w:eastAsia="宋体" w:cs="宋体"/>
          <w:szCs w:val="24"/>
        </w:rPr>
        <w:t>7.3 为乙方提供必要的工作条件，提供工作区域的生产用水、用电。</w:t>
      </w:r>
    </w:p>
    <w:p w14:paraId="6A384D3E">
      <w:pPr>
        <w:rPr>
          <w:rFonts w:hint="eastAsia" w:ascii="宋体" w:hAnsi="宋体" w:eastAsia="宋体" w:cs="宋体"/>
          <w:szCs w:val="24"/>
        </w:rPr>
      </w:pPr>
      <w:r>
        <w:rPr>
          <w:rFonts w:hint="eastAsia" w:ascii="宋体" w:hAnsi="宋体" w:eastAsia="宋体" w:cs="宋体"/>
          <w:szCs w:val="24"/>
        </w:rPr>
        <w:t>7.4 对乙方的服务工作进行全面监督和管理。乙方未严格按照合同约定进行服务的，甲方将依据相关管理规定进行考核。</w:t>
      </w:r>
    </w:p>
    <w:p w14:paraId="0CF83C89">
      <w:pPr>
        <w:rPr>
          <w:rFonts w:hint="eastAsia" w:ascii="宋体" w:hAnsi="宋体" w:eastAsia="宋体" w:cs="宋体"/>
          <w:b/>
          <w:bCs/>
          <w:szCs w:val="24"/>
        </w:rPr>
      </w:pPr>
      <w:r>
        <w:rPr>
          <w:rFonts w:hint="eastAsia" w:ascii="宋体" w:hAnsi="宋体" w:eastAsia="宋体" w:cs="宋体"/>
          <w:b/>
          <w:bCs/>
          <w:szCs w:val="24"/>
        </w:rPr>
        <w:t>八、乙方的权利和义务：</w:t>
      </w:r>
    </w:p>
    <w:p w14:paraId="2A3714A9">
      <w:pPr>
        <w:rPr>
          <w:rFonts w:hint="eastAsia" w:ascii="宋体" w:hAnsi="宋体" w:eastAsia="宋体" w:cs="宋体"/>
          <w:szCs w:val="24"/>
        </w:rPr>
      </w:pPr>
      <w:r>
        <w:rPr>
          <w:rFonts w:hint="eastAsia" w:ascii="宋体" w:hAnsi="宋体" w:eastAsia="宋体" w:cs="宋体"/>
          <w:szCs w:val="24"/>
        </w:rPr>
        <w:t>8.1 乙方应服从甲方的现场管理，自觉遵守国家安全生产、环保等相关的法规、政策和条例，并无条件遵守甲方制定的各项合规合理的管理规章制度和安全运行管理制度。</w:t>
      </w:r>
    </w:p>
    <w:p w14:paraId="1E205669">
      <w:pPr>
        <w:rPr>
          <w:rFonts w:hint="eastAsia" w:ascii="宋体" w:hAnsi="宋体" w:eastAsia="宋体" w:cs="宋体"/>
          <w:szCs w:val="24"/>
        </w:rPr>
      </w:pPr>
      <w:r>
        <w:rPr>
          <w:rFonts w:hint="eastAsia" w:ascii="宋体" w:hAnsi="宋体" w:eastAsia="宋体" w:cs="宋体"/>
          <w:szCs w:val="24"/>
        </w:rPr>
        <w:t>8.2 乙方应自行建立适用于本项目要求的健全的管理机构和管理制度，其架构和制度要求必须确保本项目服务过程满足相关的环保要求。</w:t>
      </w:r>
    </w:p>
    <w:p w14:paraId="599FCAC4">
      <w:pPr>
        <w:rPr>
          <w:rFonts w:hint="eastAsia" w:ascii="宋体" w:hAnsi="宋体" w:eastAsia="宋体" w:cs="宋体"/>
          <w:szCs w:val="24"/>
        </w:rPr>
      </w:pPr>
      <w:r>
        <w:rPr>
          <w:rFonts w:hint="eastAsia" w:ascii="宋体" w:hAnsi="宋体" w:eastAsia="宋体" w:cs="宋体"/>
          <w:szCs w:val="24"/>
        </w:rPr>
        <w:t>8.3 乙方应对其工作人员进行严格的日常管理，与作业人员建立正式劳动关系，签订书面劳动合同和缴纳社会保险。乙方应向其雇佣人员足额发放每月劳务工资，不得拖欠，否则甲方有权从本项目合同价款或履约保证金中扣除相应金额作为乙方应支付的劳务工资。若乙方出现上访、寻衅滋事等影响甲方正常生产运营，由此给甲方声誉、生产等造成损失的，由乙方承担赔偿责任。</w:t>
      </w:r>
    </w:p>
    <w:p w14:paraId="6232AC20">
      <w:pPr>
        <w:rPr>
          <w:rFonts w:hint="eastAsia" w:ascii="宋体" w:hAnsi="宋体" w:eastAsia="宋体" w:cs="宋体"/>
          <w:szCs w:val="24"/>
        </w:rPr>
      </w:pPr>
      <w:r>
        <w:rPr>
          <w:rFonts w:hint="eastAsia" w:ascii="宋体" w:hAnsi="宋体" w:eastAsia="宋体" w:cs="宋体"/>
          <w:szCs w:val="24"/>
        </w:rPr>
        <w:t>8.4 乙方必须严格遵守甲方的规章制度和安全操作规程，服从甲方的统一生产调度，工作开展以甲方下达的指令为准，不得以任何理由影响本项目的正常生产运营。因乙方违规操作或其他乙方原因造成的安全事故，由乙方全权负责，所发生的一切费用与甲方无关。甲方先行垫付或支付的，有权向乙方进行追偿。（包括但不限于从履约保证金或甲方应支付给乙方的合同价款中扣除）详见附件：2飞灰固化运行规程；3飞灰固化运营管理制度；4飞灰固化定期工作表；5飞灰固化日常维护记录；6飞灰固化生产考核表；</w:t>
      </w:r>
    </w:p>
    <w:p w14:paraId="4D02292E">
      <w:pPr>
        <w:rPr>
          <w:rFonts w:hint="eastAsia" w:ascii="宋体" w:hAnsi="宋体" w:eastAsia="宋体" w:cs="宋体"/>
          <w:szCs w:val="24"/>
        </w:rPr>
      </w:pPr>
      <w:r>
        <w:rPr>
          <w:rFonts w:hint="eastAsia" w:ascii="宋体" w:hAnsi="宋体" w:eastAsia="宋体" w:cs="宋体"/>
          <w:szCs w:val="24"/>
        </w:rPr>
        <w:t>8.5 乙方在现场的工作人员应按甲方要求统一着装，穿戴整齐；进出甲方厂区和在甲方厂区工作期间，必须佩带甲方认可的工作牌。</w:t>
      </w:r>
    </w:p>
    <w:p w14:paraId="66F2B694">
      <w:pPr>
        <w:rPr>
          <w:rFonts w:hint="eastAsia" w:ascii="宋体" w:hAnsi="宋体" w:eastAsia="宋体" w:cs="宋体"/>
          <w:szCs w:val="24"/>
        </w:rPr>
      </w:pPr>
      <w:r>
        <w:rPr>
          <w:rFonts w:hint="eastAsia" w:ascii="宋体" w:hAnsi="宋体" w:eastAsia="宋体" w:cs="宋体"/>
          <w:szCs w:val="24"/>
        </w:rPr>
        <w:t>8.6 乙方应在合同签订生效后5日内，向甲方提供如下资料审查备案：拟派驻本项目的人员花名册、员工身份证明及从业资格、年度职业病体检报告、工伤保险（或意外伤害险）证明、劳动合同。</w:t>
      </w:r>
    </w:p>
    <w:p w14:paraId="0853490D">
      <w:pPr>
        <w:rPr>
          <w:rFonts w:hint="eastAsia" w:ascii="宋体" w:hAnsi="宋体" w:eastAsia="宋体" w:cs="宋体"/>
          <w:szCs w:val="24"/>
        </w:rPr>
      </w:pPr>
      <w:r>
        <w:rPr>
          <w:rFonts w:hint="eastAsia" w:ascii="宋体" w:hAnsi="宋体" w:eastAsia="宋体" w:cs="宋体"/>
          <w:szCs w:val="24"/>
        </w:rPr>
        <w:t>8.7 乙方必须对其全部工作人员做好职业病的告知和预防，按照岗前、岗中、离岗的规定进行职业病体检（粉尘、高温、噪音等），体检报告复印件交甲方备案并为在现场工作的全部人员购买人身工伤意外保险，并将保险合同复印件交甲方备案；乙方未为员工购买相关保险的，甲方有权单方中止合同并停止支付当月飞灰固化处理费用，且不对乙方进行任何赔偿。</w:t>
      </w:r>
    </w:p>
    <w:p w14:paraId="7E261FCE">
      <w:pPr>
        <w:rPr>
          <w:rFonts w:hint="eastAsia" w:ascii="宋体" w:hAnsi="宋体" w:eastAsia="宋体" w:cs="宋体"/>
          <w:szCs w:val="24"/>
        </w:rPr>
      </w:pPr>
      <w:r>
        <w:rPr>
          <w:rFonts w:hint="eastAsia" w:ascii="宋体" w:hAnsi="宋体" w:eastAsia="宋体" w:cs="宋体"/>
          <w:szCs w:val="24"/>
        </w:rPr>
        <w:t>8.8 乙方应全力配合与甲方在现场的协调和调度，本项目运行期间乙方均应安排服务人员在现场，任何因故请假离场时间每年总计不得超过20日，且离场前应做好工作交接；其它服务人员总共不得少于5人。现场负责人可兼顾设备和叉车操作，根据现场生产情况乙方应随时调整增加人员，以不影响本合同所包含的乙方所有工作内容为前提。</w:t>
      </w:r>
    </w:p>
    <w:p w14:paraId="179F28DC">
      <w:pPr>
        <w:rPr>
          <w:rFonts w:hint="eastAsia" w:ascii="宋体" w:hAnsi="宋体" w:eastAsia="宋体" w:cs="宋体"/>
          <w:szCs w:val="24"/>
        </w:rPr>
      </w:pPr>
      <w:r>
        <w:rPr>
          <w:rFonts w:hint="eastAsia" w:ascii="宋体" w:hAnsi="宋体" w:eastAsia="宋体" w:cs="宋体"/>
          <w:szCs w:val="24"/>
        </w:rPr>
        <w:t>8.9 对于甲方提供的设施设备，乙方必须加以保管和维护，合同服务期满后乙方应按清单归还甲方，如有损坏、丢失等，应照价赔偿。严格杜绝损坏设备和设施行为，情节严重者，甲方有权追究乙方法律责任；对于甲方提供的维护场地，乙方应在维护工作中注意保洁，不得形成永久性污染及破坏，做到工完料尽场地清；对于甲方提供的备品配件，乙方在维护过程中，经甲方同意后办理领用手续，方能领用；对于甲方提供的技术资料，乙方借阅后应如期归还，损坏、丢失，应予以赔偿；对于甲方提供的维护管理文件，乙方应遵照执行。</w:t>
      </w:r>
    </w:p>
    <w:p w14:paraId="4FEF3FAF">
      <w:pPr>
        <w:rPr>
          <w:rFonts w:hint="eastAsia" w:ascii="宋体" w:hAnsi="宋体" w:eastAsia="宋体" w:cs="宋体"/>
          <w:szCs w:val="24"/>
        </w:rPr>
      </w:pPr>
      <w:r>
        <w:rPr>
          <w:rFonts w:hint="eastAsia" w:ascii="宋体" w:hAnsi="宋体" w:eastAsia="宋体" w:cs="宋体"/>
          <w:szCs w:val="24"/>
        </w:rPr>
        <w:t>8.10 乙方必须按国家及当地相关管理部门的相关要求，为其工作人员配备满足工作条件和生产环境的工作服装、手套、口罩等劳保用品，并要求工作人员在工作时间必须按国家相关要求佩带劳保、安全用品用具，做好劳动防护工作。</w:t>
      </w:r>
    </w:p>
    <w:p w14:paraId="286B0C85">
      <w:pPr>
        <w:rPr>
          <w:rFonts w:hint="eastAsia" w:ascii="宋体" w:hAnsi="宋体" w:eastAsia="宋体" w:cs="宋体"/>
          <w:szCs w:val="24"/>
        </w:rPr>
      </w:pPr>
      <w:r>
        <w:rPr>
          <w:rFonts w:hint="eastAsia" w:ascii="宋体" w:hAnsi="宋体" w:eastAsia="宋体" w:cs="宋体"/>
          <w:szCs w:val="24"/>
        </w:rPr>
        <w:t>8.11 乙方负责自行配备用于本项目装卸、搬运、运输、堆填等工作范围内的全部工器具，并按甲方指定地点堆放。</w:t>
      </w:r>
    </w:p>
    <w:p w14:paraId="2DCC0C08">
      <w:pPr>
        <w:rPr>
          <w:rFonts w:hint="eastAsia" w:ascii="宋体" w:hAnsi="宋体" w:eastAsia="宋体" w:cs="宋体"/>
          <w:szCs w:val="24"/>
        </w:rPr>
      </w:pPr>
      <w:r>
        <w:rPr>
          <w:rFonts w:hint="eastAsia" w:ascii="宋体" w:hAnsi="宋体" w:eastAsia="宋体" w:cs="宋体"/>
          <w:szCs w:val="24"/>
        </w:rPr>
        <w:t>8.12 乙方新进厂人员必须接受甲方的相关培训。培训合格，领取上岗证后方可上岗。</w:t>
      </w:r>
    </w:p>
    <w:p w14:paraId="07F64DDA">
      <w:pPr>
        <w:rPr>
          <w:rFonts w:hint="eastAsia" w:ascii="宋体" w:hAnsi="宋体" w:eastAsia="宋体" w:cs="宋体"/>
          <w:szCs w:val="24"/>
        </w:rPr>
      </w:pPr>
      <w:r>
        <w:rPr>
          <w:rFonts w:hint="eastAsia" w:ascii="宋体" w:hAnsi="宋体" w:eastAsia="宋体" w:cs="宋体"/>
          <w:szCs w:val="24"/>
        </w:rPr>
        <w:t>8.13 乙方现场人员仅限于在本合同工作范围内涉及的车间工作，未经甲方允许不得出入本项目其他工作车间和场地。</w:t>
      </w:r>
    </w:p>
    <w:p w14:paraId="0F15477D">
      <w:pPr>
        <w:rPr>
          <w:rFonts w:hint="eastAsia" w:ascii="宋体" w:hAnsi="宋体" w:eastAsia="宋体" w:cs="宋体"/>
          <w:szCs w:val="24"/>
        </w:rPr>
      </w:pPr>
      <w:r>
        <w:rPr>
          <w:rFonts w:hint="eastAsia" w:ascii="宋体" w:hAnsi="宋体" w:eastAsia="宋体" w:cs="宋体"/>
          <w:szCs w:val="24"/>
        </w:rPr>
        <w:t>8.14 乙方必须严格按飞灰稳定化比例要求使用稳定化药剂，不得随意增加或减少，以确保飞灰稳定化的质量及效果。</w:t>
      </w:r>
    </w:p>
    <w:p w14:paraId="3E644F17">
      <w:pPr>
        <w:rPr>
          <w:rFonts w:hint="eastAsia" w:ascii="宋体" w:hAnsi="宋体" w:eastAsia="宋体" w:cs="宋体"/>
          <w:szCs w:val="24"/>
        </w:rPr>
      </w:pPr>
      <w:r>
        <w:rPr>
          <w:rFonts w:hint="eastAsia" w:ascii="宋体" w:hAnsi="宋体" w:eastAsia="宋体" w:cs="宋体"/>
          <w:szCs w:val="24"/>
        </w:rPr>
        <w:t>8.15 乙方负责飞灰固化车间、养护间及暂存间等区域、道路和所有相关设备的卫生保洁工作，确保在螯合固化、养护、运输过程中不产生扬尘、抛洒、污水外泄等二次污染，无条件接受甲方关于安全、卫生、文明生产等的管理和检查工作要求。</w:t>
      </w:r>
    </w:p>
    <w:p w14:paraId="293B068A">
      <w:pPr>
        <w:rPr>
          <w:rFonts w:hint="eastAsia" w:ascii="宋体" w:hAnsi="宋体" w:eastAsia="宋体" w:cs="宋体"/>
          <w:szCs w:val="24"/>
        </w:rPr>
      </w:pPr>
      <w:r>
        <w:rPr>
          <w:rFonts w:hint="eastAsia" w:ascii="宋体" w:hAnsi="宋体" w:eastAsia="宋体" w:cs="宋体"/>
          <w:szCs w:val="24"/>
        </w:rPr>
        <w:t>8.16 严禁乙方将未经稳定化处理的飞灰运出场外自行处理或稳定化处理后的飞灰未运输至甲方指定地点进行填埋，甲方因此受到环保处罚和造成的所有损失由乙方承担。</w:t>
      </w:r>
    </w:p>
    <w:p w14:paraId="5876A629">
      <w:pPr>
        <w:rPr>
          <w:rFonts w:hint="eastAsia" w:ascii="宋体" w:hAnsi="宋体" w:eastAsia="宋体" w:cs="宋体"/>
          <w:szCs w:val="24"/>
        </w:rPr>
      </w:pPr>
      <w:r>
        <w:rPr>
          <w:rFonts w:hint="eastAsia" w:ascii="宋体" w:hAnsi="宋体" w:eastAsia="宋体" w:cs="宋体"/>
          <w:szCs w:val="24"/>
        </w:rPr>
        <w:t>8.17 乙方负责飞灰固化系统相关设备的维护、维修，保养，非乙方原因导致设备的更换由甲方负责。飞灰仓入灰口以后所有设备由乙方负责润滑、保养、检修、堵塞疏通，单次处理设备故障时间长度不超过8h。</w:t>
      </w:r>
    </w:p>
    <w:p w14:paraId="5AD15E6A">
      <w:pPr>
        <w:rPr>
          <w:rFonts w:hint="eastAsia" w:ascii="宋体" w:hAnsi="宋体" w:eastAsia="宋体" w:cs="宋体"/>
          <w:szCs w:val="24"/>
        </w:rPr>
      </w:pPr>
      <w:r>
        <w:rPr>
          <w:rFonts w:hint="eastAsia" w:ascii="宋体" w:hAnsi="宋体" w:eastAsia="宋体" w:cs="宋体"/>
          <w:szCs w:val="24"/>
        </w:rPr>
        <w:t>8.18 乙方应做好生产统计工作，建立符合甲方要求的生产台账。定期、及时、准确书面汇报生产情况以及飞灰稳定化进场填埋交接统计情况。</w:t>
      </w:r>
    </w:p>
    <w:p w14:paraId="2D1FFB73">
      <w:pPr>
        <w:rPr>
          <w:rFonts w:hint="eastAsia" w:ascii="宋体" w:hAnsi="宋体" w:eastAsia="宋体" w:cs="宋体"/>
          <w:szCs w:val="24"/>
        </w:rPr>
      </w:pPr>
      <w:r>
        <w:rPr>
          <w:rFonts w:hint="eastAsia" w:ascii="宋体" w:hAnsi="宋体" w:eastAsia="宋体" w:cs="宋体"/>
          <w:szCs w:val="24"/>
        </w:rPr>
        <w:t>8.19 乙方每月至少提供一份经双方认可的有资质的第三方出具的重金属检测报告，每年至少提供一份经双方认可的有资质的第三方出具的二噁英检测报告。如检测结果不合格或甲方委托有资质的单位检测结果为不合格，乙方负责限期对全部飞灰固化物进行二次稳定化（固化）处理，确保最终检测合格。取样时，乙方应提前一天通知甲方，甲方、乙方、第三方人员同时参与现场取样，确保样品的合理性，符合检测要求，相关费用均由乙方承担。</w:t>
      </w:r>
    </w:p>
    <w:p w14:paraId="3EFE36AE">
      <w:pPr>
        <w:rPr>
          <w:rFonts w:hint="eastAsia" w:ascii="宋体" w:hAnsi="宋体" w:eastAsia="宋体" w:cs="宋体"/>
          <w:szCs w:val="24"/>
        </w:rPr>
      </w:pPr>
      <w:r>
        <w:rPr>
          <w:rFonts w:hint="eastAsia" w:ascii="宋体" w:hAnsi="宋体" w:eastAsia="宋体" w:cs="宋体"/>
          <w:szCs w:val="24"/>
        </w:rPr>
        <w:t>8.20 乙方应保证固化处理后的飞灰满足国家标准对浸出毒性的限值要求，并提供合法有效的检测报告。</w:t>
      </w:r>
    </w:p>
    <w:p w14:paraId="39848B20">
      <w:pPr>
        <w:rPr>
          <w:rFonts w:hint="eastAsia" w:ascii="宋体" w:hAnsi="宋体" w:eastAsia="宋体" w:cs="宋体"/>
          <w:szCs w:val="24"/>
        </w:rPr>
      </w:pPr>
      <w:r>
        <w:rPr>
          <w:rFonts w:hint="eastAsia" w:ascii="宋体" w:hAnsi="宋体" w:eastAsia="宋体" w:cs="宋体"/>
          <w:szCs w:val="24"/>
        </w:rPr>
        <w:t>8.21乙方负责加油管理要求：</w:t>
      </w:r>
    </w:p>
    <w:p w14:paraId="2CDA2344">
      <w:pPr>
        <w:rPr>
          <w:rFonts w:hint="eastAsia" w:ascii="宋体" w:hAnsi="宋体" w:eastAsia="宋体" w:cs="宋体"/>
          <w:szCs w:val="24"/>
        </w:rPr>
      </w:pPr>
      <w:r>
        <w:rPr>
          <w:rFonts w:hint="eastAsia" w:ascii="宋体" w:hAnsi="宋体" w:eastAsia="宋体" w:cs="宋体"/>
          <w:szCs w:val="24"/>
        </w:rPr>
        <w:t>8.21.1乙方负责编制设备加油标准，经技术部审核、生产副总经理批准后执行。</w:t>
      </w:r>
    </w:p>
    <w:p w14:paraId="4787BCF9">
      <w:pPr>
        <w:rPr>
          <w:rFonts w:hint="eastAsia" w:ascii="宋体" w:hAnsi="宋体" w:eastAsia="宋体" w:cs="宋体"/>
          <w:szCs w:val="24"/>
        </w:rPr>
      </w:pPr>
      <w:r>
        <w:rPr>
          <w:rFonts w:hint="eastAsia" w:ascii="宋体" w:hAnsi="宋体" w:eastAsia="宋体" w:cs="宋体"/>
          <w:szCs w:val="24"/>
        </w:rPr>
        <w:t>8.21.2设备加油标准必须规定设备的加油部位、周期、方法、油品油脂品种和规格等。</w:t>
      </w:r>
    </w:p>
    <w:p w14:paraId="3D696B0F">
      <w:pPr>
        <w:rPr>
          <w:rFonts w:hint="eastAsia" w:ascii="宋体" w:hAnsi="宋体" w:eastAsia="宋体" w:cs="宋体"/>
          <w:szCs w:val="24"/>
        </w:rPr>
      </w:pPr>
      <w:r>
        <w:rPr>
          <w:rFonts w:hint="eastAsia" w:ascii="宋体" w:hAnsi="宋体" w:eastAsia="宋体" w:cs="宋体"/>
          <w:szCs w:val="24"/>
        </w:rPr>
        <w:t>8.21.3设备加油标准编制的依据包括：制造厂提供的设备图纸和说明书、国内外同类设备的实绩资料</w:t>
      </w:r>
    </w:p>
    <w:p w14:paraId="103CE6AF">
      <w:pPr>
        <w:rPr>
          <w:rFonts w:hint="eastAsia" w:ascii="宋体" w:hAnsi="宋体" w:eastAsia="宋体" w:cs="宋体"/>
          <w:szCs w:val="24"/>
        </w:rPr>
      </w:pPr>
      <w:r>
        <w:rPr>
          <w:rFonts w:hint="eastAsia" w:ascii="宋体" w:hAnsi="宋体" w:eastAsia="宋体" w:cs="宋体"/>
          <w:szCs w:val="24"/>
        </w:rPr>
        <w:t>以及设备实际运行状况与环境状态等。加油标准表式参见附录 A。</w:t>
      </w:r>
    </w:p>
    <w:p w14:paraId="0B6A7EF3">
      <w:pPr>
        <w:rPr>
          <w:rFonts w:hint="eastAsia" w:ascii="宋体" w:hAnsi="宋体" w:eastAsia="宋体" w:cs="宋体"/>
          <w:szCs w:val="24"/>
        </w:rPr>
      </w:pPr>
      <w:r>
        <w:rPr>
          <w:rFonts w:hint="eastAsia" w:ascii="宋体" w:hAnsi="宋体" w:eastAsia="宋体" w:cs="宋体"/>
          <w:szCs w:val="24"/>
        </w:rPr>
        <w:t>8.21.4设备加油工作由乙方具体实施。</w:t>
      </w:r>
    </w:p>
    <w:p w14:paraId="0F94ECAC">
      <w:pPr>
        <w:rPr>
          <w:rFonts w:hint="eastAsia" w:ascii="宋体" w:hAnsi="宋体" w:eastAsia="宋体" w:cs="宋体"/>
          <w:szCs w:val="24"/>
        </w:rPr>
      </w:pPr>
      <w:r>
        <w:rPr>
          <w:rFonts w:hint="eastAsia" w:ascii="宋体" w:hAnsi="宋体" w:eastAsia="宋体" w:cs="宋体"/>
          <w:szCs w:val="24"/>
        </w:rPr>
        <w:t>8.21.5设备加油工作应在规定的周期内由专人负责进行，工作前应办理工作许可手续。</w:t>
      </w:r>
    </w:p>
    <w:p w14:paraId="5F484565">
      <w:pPr>
        <w:rPr>
          <w:rFonts w:hint="eastAsia" w:ascii="宋体" w:hAnsi="宋体" w:eastAsia="宋体" w:cs="宋体"/>
          <w:szCs w:val="24"/>
        </w:rPr>
      </w:pPr>
      <w:r>
        <w:rPr>
          <w:rFonts w:hint="eastAsia" w:ascii="宋体" w:hAnsi="宋体" w:eastAsia="宋体" w:cs="宋体"/>
          <w:szCs w:val="24"/>
        </w:rPr>
        <w:t xml:space="preserve">8.21.6设备加油工作应严格按照设备加油标准执行，工作结束后应在设备加油台帐中做好记录。 </w:t>
      </w:r>
    </w:p>
    <w:p w14:paraId="729B1565">
      <w:pPr>
        <w:rPr>
          <w:rFonts w:hint="eastAsia" w:ascii="宋体" w:hAnsi="宋体" w:eastAsia="宋体" w:cs="宋体"/>
          <w:szCs w:val="24"/>
        </w:rPr>
      </w:pPr>
      <w:r>
        <w:rPr>
          <w:rFonts w:hint="eastAsia" w:ascii="宋体" w:hAnsi="宋体" w:eastAsia="宋体" w:cs="宋体"/>
          <w:szCs w:val="24"/>
        </w:rPr>
        <w:t>8.21.7 甲方技术部对设备加油工作执行情况进行监督、检查和考核。</w:t>
      </w:r>
    </w:p>
    <w:p w14:paraId="4290BE80">
      <w:pPr>
        <w:rPr>
          <w:rFonts w:hint="eastAsia" w:ascii="宋体" w:hAnsi="宋体" w:eastAsia="宋体" w:cs="宋体"/>
          <w:szCs w:val="24"/>
        </w:rPr>
      </w:pPr>
      <w:r>
        <w:rPr>
          <w:rFonts w:hint="eastAsia" w:ascii="宋体" w:hAnsi="宋体" w:eastAsia="宋体" w:cs="宋体"/>
          <w:szCs w:val="24"/>
        </w:rPr>
        <w:t>8.22乙方定期试验要求：</w:t>
      </w:r>
    </w:p>
    <w:p w14:paraId="45E90340">
      <w:pPr>
        <w:rPr>
          <w:rFonts w:hint="eastAsia" w:ascii="宋体" w:hAnsi="宋体" w:eastAsia="宋体" w:cs="宋体"/>
          <w:szCs w:val="24"/>
        </w:rPr>
      </w:pPr>
      <w:r>
        <w:rPr>
          <w:rFonts w:hint="eastAsia" w:ascii="宋体" w:hAnsi="宋体" w:eastAsia="宋体" w:cs="宋体"/>
          <w:szCs w:val="24"/>
        </w:rPr>
        <w:t>8.22.1 运行部门和乙方负责编制设备定期试验的项目、内容、措施和周期，经技术部审核、生产副总经理批准后执行。设备定期试验工作内容及相关要求格式见附录 B，设备定期轮换工作内容及相关要求格式见附录 C。</w:t>
      </w:r>
    </w:p>
    <w:p w14:paraId="172E846C">
      <w:pPr>
        <w:rPr>
          <w:rFonts w:hint="eastAsia" w:ascii="宋体" w:hAnsi="宋体" w:eastAsia="宋体" w:cs="宋体"/>
          <w:szCs w:val="24"/>
        </w:rPr>
      </w:pPr>
      <w:r>
        <w:rPr>
          <w:rFonts w:hint="eastAsia" w:ascii="宋体" w:hAnsi="宋体" w:eastAsia="宋体" w:cs="宋体"/>
          <w:szCs w:val="24"/>
        </w:rPr>
        <w:t>8.22.2 定期试验（含定期轮换，下同）由运行部门负责实施。</w:t>
      </w:r>
    </w:p>
    <w:p w14:paraId="6E9AD25D">
      <w:pPr>
        <w:rPr>
          <w:rFonts w:hint="eastAsia" w:ascii="宋体" w:hAnsi="宋体" w:eastAsia="宋体" w:cs="宋体"/>
          <w:szCs w:val="24"/>
        </w:rPr>
      </w:pPr>
      <w:r>
        <w:rPr>
          <w:rFonts w:hint="eastAsia" w:ascii="宋体" w:hAnsi="宋体" w:eastAsia="宋体" w:cs="宋体"/>
          <w:szCs w:val="24"/>
        </w:rPr>
        <w:t>8.22.3需技术部专业工程师等相关人员到场参加的定期试验，运营单位应提前通知，相关人员接到通知后应及时到场。</w:t>
      </w:r>
    </w:p>
    <w:p w14:paraId="44851D4A">
      <w:pPr>
        <w:rPr>
          <w:rFonts w:hint="eastAsia" w:ascii="宋体" w:hAnsi="宋体" w:eastAsia="宋体" w:cs="宋体"/>
          <w:szCs w:val="24"/>
        </w:rPr>
      </w:pPr>
      <w:r>
        <w:rPr>
          <w:rFonts w:hint="eastAsia" w:ascii="宋体" w:hAnsi="宋体" w:eastAsia="宋体" w:cs="宋体"/>
          <w:szCs w:val="24"/>
        </w:rPr>
        <w:t>8.22.4设备定期试验应在规定的时间内由专人负责，相关人员到场后进行。试验前应按照运行规程、</w:t>
      </w:r>
    </w:p>
    <w:p w14:paraId="41C1821D">
      <w:pPr>
        <w:rPr>
          <w:rFonts w:hint="eastAsia" w:ascii="宋体" w:hAnsi="宋体" w:eastAsia="宋体" w:cs="宋体"/>
          <w:szCs w:val="24"/>
        </w:rPr>
      </w:pPr>
      <w:r>
        <w:rPr>
          <w:rFonts w:hint="eastAsia" w:ascii="宋体" w:hAnsi="宋体" w:eastAsia="宋体" w:cs="宋体"/>
          <w:szCs w:val="24"/>
        </w:rPr>
        <w:t>设备技术标准和有关规定等进行检查，条件具备并做好事故预想后方可进行。</w:t>
      </w:r>
    </w:p>
    <w:p w14:paraId="37A97165">
      <w:pPr>
        <w:rPr>
          <w:rFonts w:hint="eastAsia" w:ascii="宋体" w:hAnsi="宋体" w:eastAsia="宋体" w:cs="宋体"/>
          <w:szCs w:val="24"/>
        </w:rPr>
      </w:pPr>
      <w:r>
        <w:rPr>
          <w:rFonts w:hint="eastAsia" w:ascii="宋体" w:hAnsi="宋体" w:eastAsia="宋体" w:cs="宋体"/>
          <w:szCs w:val="24"/>
        </w:rPr>
        <w:t>8.22.5试验结束后做好记录，发现设备隐患时应及时处理。</w:t>
      </w:r>
    </w:p>
    <w:p w14:paraId="7A7007E1">
      <w:pPr>
        <w:rPr>
          <w:rFonts w:hint="eastAsia" w:ascii="宋体" w:hAnsi="宋体" w:eastAsia="宋体" w:cs="宋体"/>
          <w:szCs w:val="24"/>
        </w:rPr>
      </w:pPr>
      <w:r>
        <w:rPr>
          <w:rFonts w:hint="eastAsia" w:ascii="宋体" w:hAnsi="宋体" w:eastAsia="宋体" w:cs="宋体"/>
          <w:szCs w:val="24"/>
        </w:rPr>
        <w:t>8.22.6由于设备有缺陷、台风、暴雨等恶劣气候对主设备安全运行有影响，机组停运或检修等原因无</w:t>
      </w:r>
    </w:p>
    <w:p w14:paraId="36EB3AED">
      <w:pPr>
        <w:rPr>
          <w:rFonts w:hint="eastAsia" w:ascii="宋体" w:hAnsi="宋体" w:eastAsia="宋体" w:cs="宋体"/>
          <w:szCs w:val="24"/>
        </w:rPr>
      </w:pPr>
      <w:r>
        <w:rPr>
          <w:rFonts w:hint="eastAsia" w:ascii="宋体" w:hAnsi="宋体" w:eastAsia="宋体" w:cs="宋体"/>
          <w:szCs w:val="24"/>
        </w:rPr>
        <w:t>法按计划执行时，在记录本内记录其原因，条件具备时补做。</w:t>
      </w:r>
    </w:p>
    <w:p w14:paraId="7940570F">
      <w:pPr>
        <w:rPr>
          <w:rFonts w:hint="eastAsia" w:ascii="宋体" w:hAnsi="宋体" w:eastAsia="宋体" w:cs="宋体"/>
          <w:szCs w:val="24"/>
        </w:rPr>
      </w:pPr>
      <w:r>
        <w:rPr>
          <w:rFonts w:hint="eastAsia" w:ascii="宋体" w:hAnsi="宋体" w:eastAsia="宋体" w:cs="宋体"/>
          <w:szCs w:val="24"/>
        </w:rPr>
        <w:t>8.22.7 定期试验工作结束后，应根据现场实际情况，将被试设备及系统恢复到原状态。</w:t>
      </w:r>
    </w:p>
    <w:p w14:paraId="3458C6CC">
      <w:pPr>
        <w:rPr>
          <w:rFonts w:hint="eastAsia" w:ascii="宋体" w:hAnsi="宋体" w:eastAsia="宋体" w:cs="宋体"/>
          <w:szCs w:val="24"/>
        </w:rPr>
      </w:pPr>
      <w:r>
        <w:rPr>
          <w:rFonts w:hint="eastAsia" w:ascii="宋体" w:hAnsi="宋体" w:eastAsia="宋体" w:cs="宋体"/>
          <w:szCs w:val="24"/>
        </w:rPr>
        <w:t>8.22.8设备定期轮换后，投入备用状态。</w:t>
      </w:r>
    </w:p>
    <w:p w14:paraId="4CCF4CC3">
      <w:pPr>
        <w:rPr>
          <w:rFonts w:hint="eastAsia" w:ascii="宋体" w:hAnsi="宋体" w:eastAsia="宋体" w:cs="宋体"/>
          <w:szCs w:val="24"/>
        </w:rPr>
      </w:pPr>
      <w:r>
        <w:rPr>
          <w:rFonts w:hint="eastAsia" w:ascii="宋体" w:hAnsi="宋体" w:eastAsia="宋体" w:cs="宋体"/>
          <w:szCs w:val="24"/>
        </w:rPr>
        <w:t>8.22.9技术部负责对定期试验工作进行监督、检查和考核。</w:t>
      </w:r>
    </w:p>
    <w:p w14:paraId="47C0A7B6">
      <w:pPr>
        <w:rPr>
          <w:rFonts w:hint="eastAsia" w:ascii="宋体" w:hAnsi="宋体" w:eastAsia="宋体" w:cs="宋体"/>
          <w:szCs w:val="24"/>
        </w:rPr>
      </w:pPr>
      <w:r>
        <w:rPr>
          <w:rFonts w:hint="eastAsia" w:ascii="宋体" w:hAnsi="宋体" w:eastAsia="宋体" w:cs="宋体"/>
          <w:szCs w:val="24"/>
        </w:rPr>
        <w:t>8.23乙方定期维护要求：</w:t>
      </w:r>
    </w:p>
    <w:p w14:paraId="44EEC6E9">
      <w:pPr>
        <w:rPr>
          <w:rFonts w:hint="eastAsia" w:ascii="宋体" w:hAnsi="宋体" w:eastAsia="宋体" w:cs="宋体"/>
          <w:szCs w:val="24"/>
        </w:rPr>
      </w:pPr>
      <w:r>
        <w:rPr>
          <w:rFonts w:hint="eastAsia" w:ascii="宋体" w:hAnsi="宋体" w:eastAsia="宋体" w:cs="宋体"/>
          <w:szCs w:val="24"/>
        </w:rPr>
        <w:t>8.23.1乙方负责编制各设备定期维护的项目、内容、措施和周期，经技术部审核，生产副总</w:t>
      </w:r>
    </w:p>
    <w:p w14:paraId="1751B1AA">
      <w:pPr>
        <w:rPr>
          <w:rFonts w:hint="eastAsia" w:ascii="宋体" w:hAnsi="宋体" w:eastAsia="宋体" w:cs="宋体"/>
          <w:szCs w:val="24"/>
        </w:rPr>
      </w:pPr>
      <w:r>
        <w:rPr>
          <w:rFonts w:hint="eastAsia" w:ascii="宋体" w:hAnsi="宋体" w:eastAsia="宋体" w:cs="宋体"/>
          <w:szCs w:val="24"/>
        </w:rPr>
        <w:t>经理批准后执行。设备定期维护工作内容及相关要求格式见附录 D。</w:t>
      </w:r>
    </w:p>
    <w:p w14:paraId="34197224">
      <w:pPr>
        <w:rPr>
          <w:rFonts w:hint="eastAsia" w:ascii="宋体" w:hAnsi="宋体" w:eastAsia="宋体" w:cs="宋体"/>
          <w:szCs w:val="24"/>
        </w:rPr>
      </w:pPr>
      <w:r>
        <w:rPr>
          <w:rFonts w:hint="eastAsia" w:ascii="宋体" w:hAnsi="宋体" w:eastAsia="宋体" w:cs="宋体"/>
          <w:szCs w:val="24"/>
        </w:rPr>
        <w:t>8.23.1定期维护工作主要由运营单位乙方具体实施。</w:t>
      </w:r>
    </w:p>
    <w:p w14:paraId="4F3CAF6F">
      <w:pPr>
        <w:rPr>
          <w:rFonts w:hint="eastAsia" w:ascii="宋体" w:hAnsi="宋体" w:eastAsia="宋体" w:cs="宋体"/>
          <w:szCs w:val="24"/>
        </w:rPr>
      </w:pPr>
      <w:r>
        <w:rPr>
          <w:rFonts w:hint="eastAsia" w:ascii="宋体" w:hAnsi="宋体" w:eastAsia="宋体" w:cs="宋体"/>
          <w:szCs w:val="24"/>
        </w:rPr>
        <w:t xml:space="preserve">8.23.2设备定期维护应在规定的时间内由专人负责进行，进行维护工作前应办理工作许可手续。    </w:t>
      </w:r>
    </w:p>
    <w:p w14:paraId="662325CA">
      <w:pPr>
        <w:rPr>
          <w:rFonts w:hint="eastAsia" w:ascii="宋体" w:hAnsi="宋体" w:eastAsia="宋体" w:cs="宋体"/>
          <w:szCs w:val="24"/>
        </w:rPr>
      </w:pPr>
      <w:r>
        <w:rPr>
          <w:rFonts w:hint="eastAsia" w:ascii="宋体" w:hAnsi="宋体" w:eastAsia="宋体" w:cs="宋体"/>
          <w:szCs w:val="24"/>
        </w:rPr>
        <w:t>8.23.3 可能导致机组降低出力或影响安全运行的定期维护工作，应事先取得值长同意，尽可能安排在 机组低负荷时进行，并做好防范措施。</w:t>
      </w:r>
    </w:p>
    <w:p w14:paraId="6D6DA8DF">
      <w:pPr>
        <w:rPr>
          <w:rFonts w:hint="eastAsia" w:ascii="宋体" w:hAnsi="宋体" w:eastAsia="宋体" w:cs="宋体"/>
          <w:szCs w:val="24"/>
        </w:rPr>
      </w:pPr>
      <w:r>
        <w:rPr>
          <w:rFonts w:hint="eastAsia" w:ascii="宋体" w:hAnsi="宋体" w:eastAsia="宋体" w:cs="宋体"/>
          <w:szCs w:val="24"/>
        </w:rPr>
        <w:t>8.23.4定期维护的内容按相关规定执行。工作结束后，应在定期维护记录本或设备台帐上做好维护记录。</w:t>
      </w:r>
    </w:p>
    <w:p w14:paraId="22F461D5">
      <w:pPr>
        <w:rPr>
          <w:rFonts w:hint="eastAsia" w:ascii="宋体" w:hAnsi="宋体" w:eastAsia="宋体" w:cs="宋体"/>
          <w:szCs w:val="24"/>
        </w:rPr>
      </w:pPr>
      <w:r>
        <w:rPr>
          <w:rFonts w:hint="eastAsia" w:ascii="宋体" w:hAnsi="宋体" w:eastAsia="宋体" w:cs="宋体"/>
          <w:szCs w:val="24"/>
        </w:rPr>
        <w:t>8.23.5 技术部对设备定期维护工作执行情况进行监督、检查和考核。</w:t>
      </w:r>
    </w:p>
    <w:p w14:paraId="1459F4BC">
      <w:pPr>
        <w:rPr>
          <w:rFonts w:hint="eastAsia" w:ascii="宋体" w:hAnsi="宋体" w:eastAsia="宋体" w:cs="宋体"/>
          <w:szCs w:val="24"/>
        </w:rPr>
      </w:pPr>
      <w:r>
        <w:rPr>
          <w:rFonts w:hint="eastAsia" w:ascii="宋体" w:hAnsi="宋体" w:eastAsia="宋体" w:cs="宋体"/>
          <w:szCs w:val="24"/>
        </w:rPr>
        <w:t>8.24设备“四保持”管理</w:t>
      </w:r>
    </w:p>
    <w:p w14:paraId="5A0E874B">
      <w:pPr>
        <w:rPr>
          <w:rFonts w:hint="eastAsia" w:ascii="宋体" w:hAnsi="宋体" w:eastAsia="宋体" w:cs="宋体"/>
          <w:szCs w:val="24"/>
        </w:rPr>
      </w:pPr>
      <w:r>
        <w:rPr>
          <w:rFonts w:hint="eastAsia" w:ascii="宋体" w:hAnsi="宋体" w:eastAsia="宋体" w:cs="宋体"/>
          <w:szCs w:val="24"/>
        </w:rPr>
        <w:t>8.24.1 乙方负责编制各设备“四保持”标准，经技术部审核，生产副总经理批准后执行。</w:t>
      </w:r>
    </w:p>
    <w:p w14:paraId="7A692E85">
      <w:pPr>
        <w:rPr>
          <w:rFonts w:hint="eastAsia" w:ascii="宋体" w:hAnsi="宋体" w:eastAsia="宋体" w:cs="宋体"/>
          <w:szCs w:val="24"/>
        </w:rPr>
      </w:pPr>
      <w:r>
        <w:rPr>
          <w:rFonts w:hint="eastAsia" w:ascii="宋体" w:hAnsi="宋体" w:eastAsia="宋体" w:cs="宋体"/>
          <w:szCs w:val="24"/>
        </w:rPr>
        <w:t>设备“四保持”工作内容及相关要求格式见附录 E。</w:t>
      </w:r>
    </w:p>
    <w:p w14:paraId="302AA232">
      <w:pPr>
        <w:rPr>
          <w:rFonts w:hint="eastAsia" w:ascii="宋体" w:hAnsi="宋体" w:eastAsia="宋体" w:cs="宋体"/>
          <w:szCs w:val="24"/>
        </w:rPr>
      </w:pPr>
      <w:r>
        <w:rPr>
          <w:rFonts w:hint="eastAsia" w:ascii="宋体" w:hAnsi="宋体" w:eastAsia="宋体" w:cs="宋体"/>
          <w:szCs w:val="24"/>
        </w:rPr>
        <w:t xml:space="preserve">8.24.2  一般每种设备编写一个“四保持”标准，通用设备如阀门，可按分类编写“四保持”标准。   </w:t>
      </w:r>
    </w:p>
    <w:p w14:paraId="6E9D37FF">
      <w:pPr>
        <w:rPr>
          <w:rFonts w:hint="eastAsia" w:ascii="宋体" w:hAnsi="宋体" w:eastAsia="宋体" w:cs="宋体"/>
          <w:szCs w:val="24"/>
        </w:rPr>
      </w:pPr>
      <w:r>
        <w:rPr>
          <w:rFonts w:hint="eastAsia" w:ascii="宋体" w:hAnsi="宋体" w:eastAsia="宋体" w:cs="宋体"/>
          <w:szCs w:val="24"/>
        </w:rPr>
        <w:t>8.24.3  设备“四保持”标准应与有关标准相协调，如实、准确反映现有设备的各项参数，其内容包括管理职责、维护周期及应达到的标准等。</w:t>
      </w:r>
    </w:p>
    <w:p w14:paraId="207A17B1">
      <w:pPr>
        <w:rPr>
          <w:rFonts w:hint="eastAsia" w:ascii="宋体" w:hAnsi="宋体" w:eastAsia="宋体" w:cs="宋体"/>
          <w:szCs w:val="24"/>
        </w:rPr>
      </w:pPr>
      <w:r>
        <w:rPr>
          <w:rFonts w:hint="eastAsia" w:ascii="宋体" w:hAnsi="宋体" w:eastAsia="宋体" w:cs="宋体"/>
          <w:szCs w:val="24"/>
        </w:rPr>
        <w:t>8.24.4  设备“四保持”工作主要由运营单位具体实施。</w:t>
      </w:r>
    </w:p>
    <w:p w14:paraId="06EBA411">
      <w:pPr>
        <w:rPr>
          <w:rFonts w:hint="eastAsia" w:ascii="宋体" w:hAnsi="宋体" w:eastAsia="宋体" w:cs="宋体"/>
          <w:szCs w:val="24"/>
        </w:rPr>
      </w:pPr>
      <w:r>
        <w:rPr>
          <w:rFonts w:hint="eastAsia" w:ascii="宋体" w:hAnsi="宋体" w:eastAsia="宋体" w:cs="宋体"/>
          <w:szCs w:val="24"/>
        </w:rPr>
        <w:t>8.24.5  技术部对设备“四保持”工作进行监督、检查和考核。</w:t>
      </w:r>
    </w:p>
    <w:p w14:paraId="1901CD96">
      <w:pPr>
        <w:rPr>
          <w:rFonts w:hint="eastAsia" w:ascii="宋体" w:hAnsi="宋体" w:eastAsia="宋体" w:cs="宋体"/>
          <w:szCs w:val="24"/>
        </w:rPr>
      </w:pPr>
      <w:r>
        <w:rPr>
          <w:rFonts w:hint="eastAsia" w:ascii="宋体" w:hAnsi="宋体" w:eastAsia="宋体" w:cs="宋体"/>
          <w:szCs w:val="24"/>
        </w:rPr>
        <w:t>8.25设备维护保养标准：</w:t>
      </w:r>
    </w:p>
    <w:p w14:paraId="7538A9D0">
      <w:pPr>
        <w:rPr>
          <w:rFonts w:hint="eastAsia" w:ascii="宋体" w:hAnsi="宋体" w:eastAsia="宋体" w:cs="宋体"/>
          <w:szCs w:val="24"/>
        </w:rPr>
      </w:pPr>
      <w:r>
        <w:rPr>
          <w:rFonts w:hint="eastAsia" w:ascii="宋体" w:hAnsi="宋体" w:eastAsia="宋体" w:cs="宋体"/>
          <w:szCs w:val="24"/>
        </w:rPr>
        <w:t>8.25.1  设备本体清洁，见本色或新颜色。</w:t>
      </w:r>
    </w:p>
    <w:p w14:paraId="19D784DB">
      <w:pPr>
        <w:rPr>
          <w:rFonts w:hint="eastAsia" w:ascii="宋体" w:hAnsi="宋体" w:eastAsia="宋体" w:cs="宋体"/>
          <w:szCs w:val="24"/>
        </w:rPr>
      </w:pPr>
      <w:r>
        <w:rPr>
          <w:rFonts w:hint="eastAsia" w:ascii="宋体" w:hAnsi="宋体" w:eastAsia="宋体" w:cs="宋体"/>
          <w:szCs w:val="24"/>
        </w:rPr>
        <w:t>8.25.2  设备零部件及附件齐全，线路、管路完整。</w:t>
      </w:r>
    </w:p>
    <w:p w14:paraId="7C10756F">
      <w:pPr>
        <w:rPr>
          <w:rFonts w:hint="eastAsia" w:ascii="宋体" w:hAnsi="宋体" w:eastAsia="宋体" w:cs="宋体"/>
          <w:szCs w:val="24"/>
        </w:rPr>
      </w:pPr>
      <w:r>
        <w:rPr>
          <w:rFonts w:hint="eastAsia" w:ascii="宋体" w:hAnsi="宋体" w:eastAsia="宋体" w:cs="宋体"/>
          <w:szCs w:val="24"/>
        </w:rPr>
        <w:t>8.25.3  所有管路、设备按要求做好保温工作，要求完整无脱落和腐蚀现象。</w:t>
      </w:r>
    </w:p>
    <w:p w14:paraId="1E762627">
      <w:pPr>
        <w:rPr>
          <w:rFonts w:hint="eastAsia" w:ascii="宋体" w:hAnsi="宋体" w:eastAsia="宋体" w:cs="宋体"/>
          <w:szCs w:val="24"/>
        </w:rPr>
      </w:pPr>
      <w:r>
        <w:rPr>
          <w:rFonts w:hint="eastAsia" w:ascii="宋体" w:hAnsi="宋体" w:eastAsia="宋体" w:cs="宋体"/>
          <w:szCs w:val="24"/>
        </w:rPr>
        <w:t>8.25.4  设备运转状况良好，无漏油、漏水、漏气（汽）、漏粉（尘）、漏风、漏电等现象。</w:t>
      </w:r>
    </w:p>
    <w:p w14:paraId="35A25F57">
      <w:pPr>
        <w:rPr>
          <w:rFonts w:hint="eastAsia" w:ascii="宋体" w:hAnsi="宋体" w:eastAsia="宋体" w:cs="宋体"/>
          <w:szCs w:val="24"/>
        </w:rPr>
      </w:pPr>
      <w:r>
        <w:rPr>
          <w:rFonts w:hint="eastAsia" w:ascii="宋体" w:hAnsi="宋体" w:eastAsia="宋体" w:cs="宋体"/>
          <w:szCs w:val="24"/>
        </w:rPr>
        <w:t>8.25.5  设备周围清洁，无积水、积油和无杂物堆放。</w:t>
      </w:r>
    </w:p>
    <w:p w14:paraId="313056C9">
      <w:pPr>
        <w:rPr>
          <w:rFonts w:hint="eastAsia" w:ascii="宋体" w:hAnsi="宋体" w:eastAsia="宋体" w:cs="宋体"/>
          <w:szCs w:val="24"/>
        </w:rPr>
      </w:pPr>
      <w:r>
        <w:rPr>
          <w:rFonts w:hint="eastAsia" w:ascii="宋体" w:hAnsi="宋体" w:eastAsia="宋体" w:cs="宋体"/>
          <w:szCs w:val="24"/>
        </w:rPr>
        <w:t>8.25.6  凡配备备用设备、线路的，必须定期进行切换。</w:t>
      </w:r>
    </w:p>
    <w:p w14:paraId="267E301E">
      <w:pPr>
        <w:rPr>
          <w:rFonts w:hint="eastAsia" w:ascii="宋体" w:hAnsi="宋体" w:eastAsia="宋体" w:cs="宋体"/>
          <w:szCs w:val="24"/>
        </w:rPr>
      </w:pPr>
      <w:r>
        <w:rPr>
          <w:rFonts w:hint="eastAsia" w:ascii="宋体" w:hAnsi="宋体" w:eastAsia="宋体" w:cs="宋体"/>
          <w:szCs w:val="24"/>
        </w:rPr>
        <w:t>8.25.7  根据设备厂家的要求以及相关部门的设备使用规定做好各项定期工作。</w:t>
      </w:r>
    </w:p>
    <w:p w14:paraId="5208B33B">
      <w:pPr>
        <w:rPr>
          <w:rFonts w:hint="eastAsia" w:ascii="宋体" w:hAnsi="宋体" w:eastAsia="宋体" w:cs="宋体"/>
          <w:szCs w:val="24"/>
        </w:rPr>
      </w:pPr>
      <w:r>
        <w:rPr>
          <w:rFonts w:hint="eastAsia" w:ascii="宋体" w:hAnsi="宋体" w:eastAsia="宋体" w:cs="宋体"/>
          <w:szCs w:val="24"/>
        </w:rPr>
        <w:t>8.25.8  各种安全防护装置配备齐全，牢固可靠，卫生清洁。</w:t>
      </w:r>
    </w:p>
    <w:p w14:paraId="32D0D173">
      <w:pPr>
        <w:rPr>
          <w:rFonts w:hint="eastAsia" w:ascii="宋体" w:hAnsi="宋体" w:eastAsia="宋体" w:cs="宋体"/>
          <w:szCs w:val="24"/>
        </w:rPr>
      </w:pPr>
      <w:r>
        <w:rPr>
          <w:rFonts w:hint="eastAsia" w:ascii="宋体" w:hAnsi="宋体" w:eastAsia="宋体" w:cs="宋体"/>
          <w:szCs w:val="24"/>
        </w:rPr>
        <w:t>8.25.9 各种安全、保护装置、限位开关、安全信号、联锁装置等齐全完好，灵敏可靠并定期进行测试。</w:t>
      </w:r>
    </w:p>
    <w:p w14:paraId="0FFFFBA7">
      <w:pPr>
        <w:rPr>
          <w:rFonts w:hint="eastAsia" w:ascii="宋体" w:hAnsi="宋体" w:eastAsia="宋体" w:cs="宋体"/>
          <w:szCs w:val="24"/>
        </w:rPr>
      </w:pPr>
      <w:r>
        <w:rPr>
          <w:rFonts w:hint="eastAsia" w:ascii="宋体" w:hAnsi="宋体" w:eastAsia="宋体" w:cs="宋体"/>
          <w:szCs w:val="24"/>
        </w:rPr>
        <w:t>8.25.10实行色彩化管理，设备、管路及附件应根据不同用途及规定，涂刷不同颜色的油漆。</w:t>
      </w:r>
    </w:p>
    <w:p w14:paraId="6A65E518">
      <w:pPr>
        <w:rPr>
          <w:rFonts w:hint="eastAsia" w:ascii="宋体" w:hAnsi="宋体" w:eastAsia="宋体" w:cs="宋体"/>
          <w:szCs w:val="24"/>
        </w:rPr>
      </w:pPr>
      <w:r>
        <w:rPr>
          <w:rFonts w:hint="eastAsia" w:ascii="宋体" w:hAnsi="宋体" w:eastAsia="宋体" w:cs="宋体"/>
          <w:szCs w:val="24"/>
        </w:rPr>
        <w:t>8.26  设备润滑保养标准：</w:t>
      </w:r>
    </w:p>
    <w:p w14:paraId="6212C918">
      <w:pPr>
        <w:rPr>
          <w:rFonts w:hint="eastAsia" w:ascii="宋体" w:hAnsi="宋体" w:eastAsia="宋体" w:cs="宋体"/>
          <w:szCs w:val="24"/>
        </w:rPr>
      </w:pPr>
      <w:r>
        <w:rPr>
          <w:rFonts w:hint="eastAsia" w:ascii="宋体" w:hAnsi="宋体" w:eastAsia="宋体" w:cs="宋体"/>
          <w:szCs w:val="24"/>
        </w:rPr>
        <w:t>8.26 .1  各单位必须根据设备厂家资料要求及实际情况制定详细的设备润滑制度和润滑周期；</w:t>
      </w:r>
    </w:p>
    <w:p w14:paraId="05B995D5">
      <w:pPr>
        <w:rPr>
          <w:rFonts w:hint="eastAsia" w:ascii="宋体" w:hAnsi="宋体" w:eastAsia="宋体" w:cs="宋体"/>
          <w:szCs w:val="24"/>
        </w:rPr>
      </w:pPr>
      <w:r>
        <w:rPr>
          <w:rFonts w:hint="eastAsia" w:ascii="宋体" w:hAnsi="宋体" w:eastAsia="宋体" w:cs="宋体"/>
          <w:szCs w:val="24"/>
        </w:rPr>
        <w:t>8.26 .2  严格执行润滑 “五定”的要求（即：定点、定质、定时、定量、定人）  。</w:t>
      </w:r>
    </w:p>
    <w:p w14:paraId="3BB5C660">
      <w:pPr>
        <w:rPr>
          <w:rFonts w:hint="eastAsia" w:ascii="宋体" w:hAnsi="宋体" w:eastAsia="宋体" w:cs="宋体"/>
          <w:szCs w:val="24"/>
        </w:rPr>
      </w:pPr>
      <w:r>
        <w:rPr>
          <w:rFonts w:hint="eastAsia" w:ascii="宋体" w:hAnsi="宋体" w:eastAsia="宋体" w:cs="宋体"/>
          <w:szCs w:val="24"/>
        </w:rPr>
        <w:t>8.26 .3  润滑系统完整，油路畅通、油质良好、油量适中、油标清晰。</w:t>
      </w:r>
    </w:p>
    <w:p w14:paraId="47881AFB">
      <w:pPr>
        <w:rPr>
          <w:rFonts w:hint="eastAsia" w:ascii="宋体" w:hAnsi="宋体" w:eastAsia="宋体" w:cs="宋体"/>
          <w:szCs w:val="24"/>
        </w:rPr>
      </w:pPr>
      <w:r>
        <w:rPr>
          <w:rFonts w:hint="eastAsia" w:ascii="宋体" w:hAnsi="宋体" w:eastAsia="宋体" w:cs="宋体"/>
          <w:szCs w:val="24"/>
        </w:rPr>
        <w:t>8.26 .4  运营单位工作人员应熟悉设备的润滑部位（如油孔数及油品、油质），按期加油、换油。</w:t>
      </w:r>
    </w:p>
    <w:p w14:paraId="4B7FDB4F">
      <w:pPr>
        <w:rPr>
          <w:rFonts w:hint="eastAsia" w:ascii="宋体" w:hAnsi="宋体" w:eastAsia="宋体" w:cs="宋体"/>
          <w:szCs w:val="24"/>
        </w:rPr>
      </w:pPr>
      <w:r>
        <w:rPr>
          <w:rFonts w:hint="eastAsia" w:ascii="宋体" w:hAnsi="宋体" w:eastAsia="宋体" w:cs="宋体"/>
          <w:szCs w:val="24"/>
        </w:rPr>
        <w:t>8.26 .5  油标醒目、油线、油嘴、油杯齐全,完整好用，放置合理，定期清理。</w:t>
      </w:r>
    </w:p>
    <w:p w14:paraId="030D5486">
      <w:pPr>
        <w:rPr>
          <w:rFonts w:hint="eastAsia" w:ascii="宋体" w:hAnsi="宋体" w:eastAsia="宋体" w:cs="宋体"/>
          <w:szCs w:val="24"/>
        </w:rPr>
      </w:pPr>
      <w:r>
        <w:rPr>
          <w:rFonts w:hint="eastAsia" w:ascii="宋体" w:hAnsi="宋体" w:eastAsia="宋体" w:cs="宋体"/>
          <w:szCs w:val="24"/>
        </w:rPr>
        <w:t>8.26 .6  按规定要求正确使用润滑油（脂）的牌号，不得随意更改。</w:t>
      </w:r>
    </w:p>
    <w:p w14:paraId="31703E98">
      <w:pPr>
        <w:rPr>
          <w:rFonts w:hint="eastAsia" w:ascii="宋体" w:hAnsi="宋体" w:eastAsia="宋体" w:cs="宋体"/>
          <w:szCs w:val="24"/>
        </w:rPr>
      </w:pPr>
      <w:r>
        <w:rPr>
          <w:rFonts w:hint="eastAsia" w:ascii="宋体" w:hAnsi="宋体" w:eastAsia="宋体" w:cs="宋体"/>
          <w:szCs w:val="24"/>
        </w:rPr>
        <w:t>8.26 .7  所有备用设备应有专人负责定期检查维护，注意防尘、防潮、防冻、防腐蚀，对于设备还应定期进行盘车或切换，使所有备用设备处于良好状态，未经单位领导批准同意，不等随意拆卸备用设备部 件使用。</w:t>
      </w:r>
    </w:p>
    <w:p w14:paraId="3A1E239D">
      <w:pPr>
        <w:rPr>
          <w:rFonts w:hint="eastAsia" w:ascii="宋体" w:hAnsi="宋体" w:eastAsia="宋体" w:cs="宋体"/>
          <w:szCs w:val="24"/>
        </w:rPr>
      </w:pPr>
      <w:r>
        <w:rPr>
          <w:rFonts w:hint="eastAsia" w:ascii="宋体" w:hAnsi="宋体" w:eastAsia="宋体" w:cs="宋体"/>
          <w:szCs w:val="24"/>
        </w:rPr>
        <w:t>8.27 其它要求</w:t>
      </w:r>
    </w:p>
    <w:p w14:paraId="31491913">
      <w:pPr>
        <w:rPr>
          <w:rFonts w:hint="eastAsia" w:ascii="宋体" w:hAnsi="宋体" w:eastAsia="宋体" w:cs="宋体"/>
          <w:szCs w:val="24"/>
        </w:rPr>
      </w:pPr>
      <w:r>
        <w:rPr>
          <w:rFonts w:hint="eastAsia" w:ascii="宋体" w:hAnsi="宋体" w:eastAsia="宋体" w:cs="宋体"/>
          <w:szCs w:val="24"/>
        </w:rPr>
        <w:t>8.27.1运营单位乙方使用的吨袋必须符合国家环保要求，吨袋上的飞灰标签填写规范合格，满足环保要求。</w:t>
      </w:r>
    </w:p>
    <w:p w14:paraId="5C53BBFA">
      <w:pPr>
        <w:rPr>
          <w:rFonts w:hint="eastAsia" w:ascii="宋体" w:hAnsi="宋体" w:eastAsia="宋体" w:cs="宋体"/>
          <w:szCs w:val="24"/>
        </w:rPr>
      </w:pPr>
      <w:r>
        <w:rPr>
          <w:rFonts w:hint="eastAsia" w:ascii="宋体" w:hAnsi="宋体" w:eastAsia="宋体" w:cs="宋体"/>
          <w:szCs w:val="24"/>
        </w:rPr>
        <w:t>8.27.2运营单位乙方必须及时出灰，日产日清，避免因出灰不及时导致灰库板结。</w:t>
      </w:r>
    </w:p>
    <w:p w14:paraId="135F4A01">
      <w:pPr>
        <w:rPr>
          <w:rFonts w:hint="eastAsia" w:ascii="宋体" w:hAnsi="宋体" w:eastAsia="宋体" w:cs="宋体"/>
          <w:szCs w:val="24"/>
        </w:rPr>
      </w:pPr>
      <w:r>
        <w:rPr>
          <w:rFonts w:hint="eastAsia" w:ascii="宋体" w:hAnsi="宋体" w:eastAsia="宋体" w:cs="宋体"/>
          <w:szCs w:val="24"/>
        </w:rPr>
        <w:t>8.27.3运营单位乙方全面负责生产区域内设备卫生和系统清垢工作，必须做到设备整洁、物见本色，保证每天工作结束后对混炼机及转运设备进行清洗，确保混炼机及转运设备再次投用时顺利启动，每周对混炼机不少于一次的开盖全面清理，并根据设备运行状况实时增加清理次数。对混炼机及转运设备严禁采用敲打方式清垢和疏通。</w:t>
      </w:r>
    </w:p>
    <w:p w14:paraId="49A6B638">
      <w:pPr>
        <w:rPr>
          <w:rFonts w:hint="eastAsia" w:ascii="宋体" w:hAnsi="宋体" w:eastAsia="宋体" w:cs="宋体"/>
          <w:szCs w:val="24"/>
        </w:rPr>
      </w:pPr>
      <w:r>
        <w:rPr>
          <w:rFonts w:hint="eastAsia" w:ascii="宋体" w:hAnsi="宋体" w:eastAsia="宋体" w:cs="宋体"/>
          <w:szCs w:val="24"/>
        </w:rPr>
        <w:t>8.27.4 运营单位乙方每周至少清理一次各称重系统灰尘，确保称重系统准确，避免腐蚀；</w:t>
      </w:r>
    </w:p>
    <w:p w14:paraId="1BA9627B">
      <w:pPr>
        <w:rPr>
          <w:rFonts w:hint="eastAsia" w:ascii="宋体" w:hAnsi="宋体" w:eastAsia="宋体" w:cs="宋体"/>
          <w:szCs w:val="24"/>
        </w:rPr>
      </w:pPr>
      <w:r>
        <w:rPr>
          <w:rFonts w:hint="eastAsia" w:ascii="宋体" w:hAnsi="宋体" w:eastAsia="宋体" w:cs="宋体"/>
          <w:szCs w:val="24"/>
        </w:rPr>
        <w:t>8.27.5 运营单位乙方必须保证飞灰处理设备能够正常运行，发现缺陷及时处理，并将消缺情况统计至设备缺陷台账。因运营单位维保不及时、操作错误等原因造成设备损坏，运营单位承担维修费用及相应损失；</w:t>
      </w:r>
    </w:p>
    <w:p w14:paraId="4C33BDE2">
      <w:pPr>
        <w:rPr>
          <w:rFonts w:hint="eastAsia" w:ascii="宋体" w:hAnsi="宋体" w:eastAsia="宋体" w:cs="宋体"/>
          <w:szCs w:val="24"/>
        </w:rPr>
      </w:pPr>
      <w:r>
        <w:rPr>
          <w:rFonts w:hint="eastAsia" w:ascii="宋体" w:hAnsi="宋体" w:eastAsia="宋体" w:cs="宋体"/>
          <w:szCs w:val="24"/>
        </w:rPr>
        <w:t>8.27.6 运营单位乙方应做好生产统计工作，建立符合甲方要求的生产台账。定期、及时、准确书面汇报生产情况以及飞灰稳定化进场填埋交接统计情况。</w:t>
      </w:r>
    </w:p>
    <w:p w14:paraId="78085F97">
      <w:pPr>
        <w:rPr>
          <w:rFonts w:hint="eastAsia" w:ascii="宋体" w:hAnsi="宋体" w:eastAsia="宋体" w:cs="宋体"/>
          <w:szCs w:val="24"/>
        </w:rPr>
      </w:pPr>
      <w:r>
        <w:rPr>
          <w:rFonts w:hint="eastAsia" w:ascii="宋体" w:hAnsi="宋体" w:eastAsia="宋体" w:cs="宋体"/>
          <w:szCs w:val="24"/>
        </w:rPr>
        <w:t>8.27.7运营单位乙方每月至少提供一份经双方认可的有资质的第三方出具的重金属检测报告，每年至少提供一份经双方认可的有资质的第三方出具的二噁英检测报告。如检测结果不合格或业主</w:t>
      </w:r>
    </w:p>
    <w:p w14:paraId="7448118C">
      <w:pPr>
        <w:rPr>
          <w:rFonts w:hint="eastAsia" w:ascii="宋体" w:hAnsi="宋体" w:eastAsia="宋体" w:cs="宋体"/>
          <w:szCs w:val="24"/>
        </w:rPr>
      </w:pPr>
      <w:r>
        <w:rPr>
          <w:rFonts w:hint="eastAsia" w:ascii="宋体" w:hAnsi="宋体" w:eastAsia="宋体" w:cs="宋体"/>
          <w:szCs w:val="24"/>
        </w:rPr>
        <w:t>委托有资质的单位检测结果为不合格，运营单位负责限期对全部飞灰固化物进行二次稳定化处理，确保最终检测合格。取样时，运营单位应提前一天通知业主，业主、运营单位、第三方人员同时参与现场取样，确保样品的合理性，符合检测要求，相关费用均由乙方承担。</w:t>
      </w:r>
    </w:p>
    <w:p w14:paraId="0BD62511">
      <w:pPr>
        <w:rPr>
          <w:rFonts w:hint="eastAsia" w:ascii="宋体" w:hAnsi="宋体" w:eastAsia="宋体" w:cs="宋体"/>
          <w:szCs w:val="24"/>
        </w:rPr>
      </w:pPr>
      <w:r>
        <w:rPr>
          <w:rFonts w:hint="eastAsia" w:ascii="宋体" w:hAnsi="宋体" w:eastAsia="宋体" w:cs="宋体"/>
          <w:szCs w:val="24"/>
        </w:rPr>
        <w:t>8.27.8运营单位应保证固化处理后的飞灰满足国家标准对浸出毒性的限值要求，并提供合法有效</w:t>
      </w:r>
    </w:p>
    <w:p w14:paraId="3158C4BC">
      <w:pPr>
        <w:rPr>
          <w:rFonts w:hint="eastAsia" w:ascii="宋体" w:hAnsi="宋体" w:eastAsia="宋体" w:cs="宋体"/>
          <w:szCs w:val="24"/>
        </w:rPr>
      </w:pPr>
      <w:r>
        <w:rPr>
          <w:rFonts w:hint="eastAsia" w:ascii="宋体" w:hAnsi="宋体" w:eastAsia="宋体" w:cs="宋体"/>
          <w:szCs w:val="24"/>
        </w:rPr>
        <w:t>的检测报告。</w:t>
      </w:r>
    </w:p>
    <w:p w14:paraId="358025AE">
      <w:pPr>
        <w:rPr>
          <w:rFonts w:hint="eastAsia" w:ascii="宋体" w:hAnsi="宋体" w:eastAsia="宋体" w:cs="宋体"/>
          <w:szCs w:val="24"/>
        </w:rPr>
      </w:pPr>
      <w:r>
        <w:rPr>
          <w:rFonts w:hint="eastAsia" w:ascii="宋体" w:hAnsi="宋体" w:eastAsia="宋体" w:cs="宋体"/>
          <w:szCs w:val="24"/>
        </w:rPr>
        <w:t>8.27.9运营单位根据飞灰固化运行规程及运营管理制度、定期工作表、日常维护记录表对设备进行管理；</w:t>
      </w:r>
    </w:p>
    <w:p w14:paraId="103265B2">
      <w:pPr>
        <w:rPr>
          <w:rFonts w:hint="eastAsia" w:ascii="宋体" w:hAnsi="宋体" w:eastAsia="宋体" w:cs="宋体"/>
          <w:szCs w:val="24"/>
        </w:rPr>
      </w:pPr>
      <w:r>
        <w:rPr>
          <w:rFonts w:hint="eastAsia" w:ascii="宋体" w:hAnsi="宋体" w:eastAsia="宋体" w:cs="宋体"/>
          <w:szCs w:val="24"/>
        </w:rPr>
        <w:t>8.27.10运营单位清完仓内飞灰，打扫卫生后，通知当班值长安排工作人员进行检查。运行人员检查完毕，确认现场无问题，并完成考核表后，飞灰固化运行人员方可下班离开。</w:t>
      </w:r>
    </w:p>
    <w:p w14:paraId="78741D33">
      <w:pPr>
        <w:rPr>
          <w:rFonts w:hint="eastAsia" w:ascii="宋体" w:hAnsi="宋体" w:eastAsia="宋体" w:cs="宋体"/>
          <w:szCs w:val="24"/>
        </w:rPr>
      </w:pPr>
      <w:r>
        <w:rPr>
          <w:rFonts w:hint="eastAsia" w:ascii="宋体" w:hAnsi="宋体" w:eastAsia="宋体" w:cs="宋体"/>
          <w:szCs w:val="24"/>
        </w:rPr>
        <w:t>8.27.11运营单位乙方生产过程中要做好安全生产工作，由于操作不当或者是设备维护使用不当，造成的人员伤亡等事故，由此造成的费用全部由乙方自行承担。</w:t>
      </w:r>
    </w:p>
    <w:p w14:paraId="19912EEE">
      <w:pPr>
        <w:rPr>
          <w:rFonts w:hint="eastAsia" w:ascii="宋体" w:hAnsi="宋体" w:eastAsia="宋体" w:cs="宋体"/>
          <w:szCs w:val="24"/>
        </w:rPr>
      </w:pPr>
      <w:r>
        <w:rPr>
          <w:rFonts w:hint="eastAsia" w:ascii="宋体" w:hAnsi="宋体" w:eastAsia="宋体" w:cs="宋体"/>
          <w:szCs w:val="24"/>
        </w:rPr>
        <w:t>8.28乙方负责飞灰养护间、暂存间的管理及要求</w:t>
      </w:r>
    </w:p>
    <w:p w14:paraId="71C22E9C">
      <w:pPr>
        <w:rPr>
          <w:rFonts w:hint="eastAsia" w:ascii="宋体" w:hAnsi="宋体" w:eastAsia="宋体" w:cs="宋体"/>
          <w:szCs w:val="24"/>
        </w:rPr>
      </w:pPr>
      <w:r>
        <w:rPr>
          <w:rFonts w:hint="eastAsia" w:ascii="宋体" w:hAnsi="宋体" w:eastAsia="宋体" w:cs="宋体"/>
          <w:szCs w:val="24"/>
        </w:rPr>
        <w:t>8.28.1养护间和暂存间飞灰堆放必须分区堆放，严禁混堆乱放，同时需预留转运通道，便于对任何一区的飞灰都可以进行检查和转运。</w:t>
      </w:r>
    </w:p>
    <w:p w14:paraId="418301D2">
      <w:pPr>
        <w:rPr>
          <w:rFonts w:hint="eastAsia" w:ascii="宋体" w:hAnsi="宋体" w:eastAsia="宋体" w:cs="宋体"/>
          <w:szCs w:val="24"/>
        </w:rPr>
      </w:pPr>
      <w:r>
        <w:rPr>
          <w:rFonts w:hint="eastAsia" w:ascii="宋体" w:hAnsi="宋体" w:eastAsia="宋体" w:cs="宋体"/>
          <w:szCs w:val="24"/>
        </w:rPr>
        <w:t>吨袋堆码严格按四层堆放，在确保安全的前提下，充分利用空间。</w:t>
      </w:r>
    </w:p>
    <w:p w14:paraId="59E9A589">
      <w:pPr>
        <w:rPr>
          <w:rFonts w:hint="eastAsia" w:ascii="宋体" w:hAnsi="宋体" w:eastAsia="宋体" w:cs="宋体"/>
          <w:szCs w:val="24"/>
        </w:rPr>
      </w:pPr>
      <w:r>
        <w:rPr>
          <w:rFonts w:hint="eastAsia" w:ascii="宋体" w:hAnsi="宋体" w:eastAsia="宋体" w:cs="宋体"/>
          <w:szCs w:val="24"/>
        </w:rPr>
        <w:t>转运过程中导致的吨袋破损的情况，乙方要进行加袋防护，严格控制灰不落地。</w:t>
      </w:r>
    </w:p>
    <w:p w14:paraId="73806736">
      <w:pPr>
        <w:rPr>
          <w:rFonts w:hint="eastAsia" w:ascii="宋体" w:hAnsi="宋体" w:eastAsia="宋体" w:cs="宋体"/>
          <w:szCs w:val="24"/>
        </w:rPr>
      </w:pPr>
      <w:r>
        <w:rPr>
          <w:rFonts w:hint="eastAsia" w:ascii="宋体" w:hAnsi="宋体" w:eastAsia="宋体" w:cs="宋体"/>
          <w:szCs w:val="24"/>
        </w:rPr>
        <w:t>8.28.2由于乙方堆放不到位，导致吨袋坍塌等现象，造成安全风险和相邻设施设备受损，由此造成的汽车吊二次转运费用及相关损失费用，全部由乙方负责进行处理和恢复。</w:t>
      </w:r>
    </w:p>
    <w:p w14:paraId="200478C8">
      <w:pPr>
        <w:rPr>
          <w:rFonts w:hint="eastAsia" w:ascii="宋体" w:hAnsi="宋体" w:eastAsia="宋体" w:cs="宋体"/>
          <w:szCs w:val="24"/>
        </w:rPr>
      </w:pPr>
      <w:r>
        <w:rPr>
          <w:rFonts w:hint="eastAsia" w:ascii="宋体" w:hAnsi="宋体" w:eastAsia="宋体" w:cs="宋体"/>
          <w:szCs w:val="24"/>
        </w:rPr>
        <w:t>8.28.3乙方在飞灰转运和堆放的过程中要做好安全生产工作，由于操作不当或者是设备维护使用不当，造成的当事人或第三者人员伤亡等事故，由此造成的费用全部由乙方自行承担。</w:t>
      </w:r>
    </w:p>
    <w:p w14:paraId="669A555D">
      <w:pPr>
        <w:rPr>
          <w:rFonts w:hint="eastAsia" w:ascii="宋体" w:hAnsi="宋体" w:eastAsia="宋体" w:cs="宋体"/>
          <w:szCs w:val="24"/>
        </w:rPr>
      </w:pPr>
      <w:r>
        <w:rPr>
          <w:rFonts w:hint="eastAsia" w:ascii="宋体" w:hAnsi="宋体" w:eastAsia="宋体" w:cs="宋体"/>
          <w:szCs w:val="24"/>
        </w:rPr>
        <w:t>8.28.4乙方要严格按照飞灰暂存间和养护间的管理要求，进行台账记录，账实相符。</w:t>
      </w:r>
    </w:p>
    <w:p w14:paraId="49C9C047">
      <w:pPr>
        <w:rPr>
          <w:rFonts w:hint="eastAsia" w:ascii="宋体" w:hAnsi="宋体" w:eastAsia="宋体" w:cs="宋体"/>
          <w:szCs w:val="24"/>
        </w:rPr>
      </w:pPr>
      <w:r>
        <w:rPr>
          <w:rFonts w:hint="eastAsia" w:ascii="宋体" w:hAnsi="宋体" w:eastAsia="宋体" w:cs="宋体"/>
          <w:szCs w:val="24"/>
        </w:rPr>
        <w:t>养护间、暂存间的现场卫生，由乙方负责打扫干净，维持好日常的卫生环境。</w:t>
      </w:r>
    </w:p>
    <w:p w14:paraId="5BE2486C">
      <w:pPr>
        <w:rPr>
          <w:rFonts w:hint="eastAsia" w:ascii="宋体" w:hAnsi="宋体" w:eastAsia="宋体" w:cs="宋体"/>
          <w:szCs w:val="24"/>
        </w:rPr>
      </w:pPr>
      <w:r>
        <w:rPr>
          <w:rFonts w:hint="eastAsia" w:ascii="宋体" w:hAnsi="宋体" w:eastAsia="宋体" w:cs="宋体"/>
          <w:szCs w:val="24"/>
        </w:rPr>
        <w:t>8.28.5甲方将不定期的对以上情况其进行检查，检查发现的问题按每次1000元-2000元不等的金额进行处罚。</w:t>
      </w:r>
    </w:p>
    <w:p w14:paraId="13012EE7">
      <w:pPr>
        <w:rPr>
          <w:rFonts w:hint="eastAsia" w:ascii="宋体" w:hAnsi="宋体" w:eastAsia="宋体" w:cs="宋体"/>
          <w:b/>
          <w:bCs/>
          <w:szCs w:val="24"/>
        </w:rPr>
      </w:pPr>
      <w:r>
        <w:rPr>
          <w:rFonts w:hint="eastAsia" w:ascii="宋体" w:hAnsi="宋体" w:eastAsia="宋体" w:cs="宋体"/>
          <w:b/>
          <w:bCs/>
          <w:szCs w:val="24"/>
        </w:rPr>
        <w:t>九、免责条款：</w:t>
      </w:r>
    </w:p>
    <w:p w14:paraId="2F711B53">
      <w:pPr>
        <w:rPr>
          <w:rFonts w:hint="eastAsia" w:ascii="宋体" w:hAnsi="宋体" w:eastAsia="宋体" w:cs="宋体"/>
          <w:szCs w:val="24"/>
        </w:rPr>
      </w:pPr>
      <w:r>
        <w:rPr>
          <w:rFonts w:hint="eastAsia" w:ascii="宋体" w:hAnsi="宋体" w:eastAsia="宋体" w:cs="宋体"/>
          <w:szCs w:val="24"/>
        </w:rPr>
        <w:t>9.1 因不可抗力（包括地震、台风、水灾、火灾等意外事件）导致不能履行或不能完全履行本合同责任义务时，双方不承担违约责任。</w:t>
      </w:r>
    </w:p>
    <w:p w14:paraId="21321CF7">
      <w:pPr>
        <w:rPr>
          <w:rFonts w:hint="eastAsia" w:ascii="宋体" w:hAnsi="宋体" w:eastAsia="宋体" w:cs="宋体"/>
          <w:szCs w:val="24"/>
        </w:rPr>
      </w:pPr>
      <w:r>
        <w:rPr>
          <w:rFonts w:hint="eastAsia" w:ascii="宋体" w:hAnsi="宋体" w:eastAsia="宋体" w:cs="宋体"/>
          <w:szCs w:val="24"/>
        </w:rPr>
        <w:t>9.2 不可抗力事件发生后，乙方应迅速采取措施，尽力减少损失，并在2小时内向甲方通报受害情况，在24小时内报告损失及用于清理、修复的费用。</w:t>
      </w:r>
    </w:p>
    <w:p w14:paraId="1A8DF318">
      <w:pPr>
        <w:rPr>
          <w:rFonts w:hint="eastAsia" w:ascii="宋体" w:hAnsi="宋体" w:eastAsia="宋体" w:cs="宋体"/>
          <w:szCs w:val="24"/>
        </w:rPr>
      </w:pPr>
      <w:r>
        <w:rPr>
          <w:rFonts w:hint="eastAsia" w:ascii="宋体" w:hAnsi="宋体" w:eastAsia="宋体" w:cs="宋体"/>
          <w:szCs w:val="24"/>
        </w:rPr>
        <w:t>9.3 不论乙方是否对自身人员、自备的工器具、仪器、仪表等进行投保，在不可抗力发生后，乙方的人员、工器具、仪器、仪表及停工损失或损害等均由乙方自行承担。</w:t>
      </w:r>
    </w:p>
    <w:p w14:paraId="52B39E82">
      <w:pPr>
        <w:rPr>
          <w:rFonts w:hint="eastAsia" w:ascii="宋体" w:hAnsi="宋体" w:eastAsia="宋体" w:cs="宋体"/>
          <w:b/>
          <w:bCs/>
          <w:szCs w:val="24"/>
        </w:rPr>
      </w:pPr>
      <w:r>
        <w:rPr>
          <w:rFonts w:hint="eastAsia" w:ascii="宋体" w:hAnsi="宋体" w:eastAsia="宋体" w:cs="宋体"/>
          <w:b/>
          <w:bCs/>
          <w:szCs w:val="24"/>
        </w:rPr>
        <w:t>十、违约责任：</w:t>
      </w:r>
    </w:p>
    <w:p w14:paraId="4FD4C34F">
      <w:pPr>
        <w:rPr>
          <w:rFonts w:hint="eastAsia" w:ascii="宋体" w:hAnsi="宋体" w:eastAsia="宋体" w:cs="宋体"/>
          <w:szCs w:val="24"/>
        </w:rPr>
      </w:pPr>
      <w:r>
        <w:rPr>
          <w:rFonts w:hint="eastAsia" w:ascii="宋体" w:hAnsi="宋体" w:eastAsia="宋体" w:cs="宋体"/>
          <w:szCs w:val="24"/>
        </w:rPr>
        <w:t>10.1 除合同另有约定外，双方不得擅自变更、中止或者终止本合同。一方无故提出解除合同的应向另一方支付相当于年度飞灰处理费用10%的违约金。</w:t>
      </w:r>
    </w:p>
    <w:p w14:paraId="30557EA0">
      <w:pPr>
        <w:rPr>
          <w:rFonts w:hint="eastAsia" w:ascii="宋体" w:hAnsi="宋体" w:eastAsia="宋体" w:cs="宋体"/>
          <w:szCs w:val="24"/>
        </w:rPr>
      </w:pPr>
      <w:r>
        <w:rPr>
          <w:rFonts w:hint="eastAsia" w:ascii="宋体" w:hAnsi="宋体" w:eastAsia="宋体" w:cs="宋体"/>
          <w:szCs w:val="24"/>
        </w:rPr>
        <w:t>10.2 甲方违约的情形：</w:t>
      </w:r>
    </w:p>
    <w:p w14:paraId="5AE77A31">
      <w:pPr>
        <w:rPr>
          <w:rFonts w:hint="eastAsia" w:ascii="宋体" w:hAnsi="宋体" w:eastAsia="宋体" w:cs="宋体"/>
          <w:szCs w:val="24"/>
        </w:rPr>
      </w:pPr>
      <w:r>
        <w:rPr>
          <w:rFonts w:hint="eastAsia" w:ascii="宋体" w:hAnsi="宋体" w:eastAsia="宋体" w:cs="宋体"/>
          <w:szCs w:val="24"/>
        </w:rPr>
        <w:t>合同履行过程中，由于甲方原因造成乙方运营工作中断或导致乙方未能在合同约定期限内完成相关工作。</w:t>
      </w:r>
    </w:p>
    <w:p w14:paraId="7D47A13C">
      <w:pPr>
        <w:rPr>
          <w:rFonts w:hint="eastAsia" w:ascii="宋体" w:hAnsi="宋体" w:eastAsia="宋体" w:cs="宋体"/>
          <w:szCs w:val="24"/>
        </w:rPr>
      </w:pPr>
      <w:r>
        <w:rPr>
          <w:rFonts w:hint="eastAsia" w:ascii="宋体" w:hAnsi="宋体" w:eastAsia="宋体" w:cs="宋体"/>
          <w:szCs w:val="24"/>
        </w:rPr>
        <w:t>10.3 乙方违约的情形：</w:t>
      </w:r>
    </w:p>
    <w:p w14:paraId="4001692B">
      <w:pPr>
        <w:rPr>
          <w:rFonts w:hint="eastAsia" w:ascii="宋体" w:hAnsi="宋体" w:eastAsia="宋体" w:cs="宋体"/>
          <w:szCs w:val="24"/>
        </w:rPr>
      </w:pPr>
      <w:r>
        <w:rPr>
          <w:rFonts w:hint="eastAsia" w:ascii="宋体" w:hAnsi="宋体" w:eastAsia="宋体" w:cs="宋体"/>
          <w:szCs w:val="24"/>
        </w:rPr>
        <w:t>①　乙方提供的服务工作未达到《技术规范书》规定的要求或国家法定环保标准或乙方不能在甲方规定的合理期限内完成飞灰固化处理和厂内转运工作的（乙方逾期两周未能按合同约定完成固化处理服务的视为不能完成本合同义务），甲方有权单方解除合同，并要求乙方退还其已收取的飞灰固化处理费（如有），同时乙方按年度处理费用（本项目年度处理量按11000吨计算）总额的20%向甲方支付违约金，由此给甲方造成的其他所有损失（包括但不限于环保考核、另行委托第三方处理产生的费用、停产停运损失以及其他损失）均由乙方承担，但甲方同时有义务及时采取必要措施减少损失的发生。</w:t>
      </w:r>
    </w:p>
    <w:p w14:paraId="112C5F88">
      <w:pPr>
        <w:rPr>
          <w:rFonts w:hint="eastAsia" w:ascii="宋体" w:hAnsi="宋体" w:eastAsia="宋体" w:cs="宋体"/>
          <w:szCs w:val="24"/>
        </w:rPr>
      </w:pPr>
      <w:r>
        <w:rPr>
          <w:rFonts w:hint="eastAsia" w:ascii="宋体" w:hAnsi="宋体" w:eastAsia="宋体" w:cs="宋体"/>
          <w:szCs w:val="24"/>
        </w:rPr>
        <w:t>②　甲方对乙方处理的飞灰进行定期抽检，若抽检结果为不合格，乙方应无条件进行二次螯合处理，二次处理后的飞灰应达到国家标准要求；若经二次处理后的飞灰检测结果仍为不合格，乙方应再次处理直至合格；同时乙方应按最终处理合格的该批飞灰的结算费用的两倍向甲方支付违约金并承担甲方委托第三方的检测费用，甲方有权在应支付乙方的合同价款或履约保证金中予以扣除。</w:t>
      </w:r>
    </w:p>
    <w:p w14:paraId="6E598DC4">
      <w:pPr>
        <w:rPr>
          <w:rFonts w:hint="eastAsia" w:ascii="宋体" w:hAnsi="宋体" w:eastAsia="宋体" w:cs="宋体"/>
          <w:szCs w:val="24"/>
        </w:rPr>
      </w:pPr>
      <w:r>
        <w:rPr>
          <w:rFonts w:hint="eastAsia" w:ascii="宋体" w:hAnsi="宋体" w:eastAsia="宋体" w:cs="宋体"/>
          <w:szCs w:val="24"/>
        </w:rPr>
        <w:t>③　甲方抽检结果显示为不合格的情形达到三次的，甲方有权单方解除合同，乙方应按双方已累计完成结算的处理费用的30%向甲方支付违约金。若双方对抽检结果存在争议，双方可共同委托有资质的鉴定单位进行检测，若检测结果仍为不合格，检测费用由乙方承担。</w:t>
      </w:r>
    </w:p>
    <w:p w14:paraId="7CA07C3B">
      <w:pPr>
        <w:rPr>
          <w:rFonts w:hint="eastAsia" w:ascii="宋体" w:hAnsi="宋体" w:eastAsia="宋体" w:cs="宋体"/>
          <w:szCs w:val="24"/>
        </w:rPr>
      </w:pPr>
      <w:r>
        <w:rPr>
          <w:rFonts w:hint="eastAsia" w:ascii="宋体" w:hAnsi="宋体" w:eastAsia="宋体" w:cs="宋体"/>
          <w:szCs w:val="24"/>
        </w:rPr>
        <w:t>④　因乙方原因导致处理合格后的飞灰无法完成转运和填埋，经甲方催告并在合理期限内仍无法及时完成转运和填埋，甲方除停止支付飞灰固化服务费用外，还可要求乙方承担飞灰堆放在甲方厂内引起的所有损失（包括但不限于环保考核、另行委托第三方处理产生的费用、停产停运损失以及其他损失）。</w:t>
      </w:r>
    </w:p>
    <w:p w14:paraId="33CAD028">
      <w:pPr>
        <w:rPr>
          <w:rFonts w:hint="eastAsia" w:ascii="宋体" w:hAnsi="宋体" w:eastAsia="宋体" w:cs="宋体"/>
          <w:szCs w:val="24"/>
        </w:rPr>
      </w:pPr>
      <w:r>
        <w:rPr>
          <w:rFonts w:hint="eastAsia" w:ascii="宋体" w:hAnsi="宋体" w:eastAsia="宋体" w:cs="宋体"/>
          <w:szCs w:val="24"/>
        </w:rPr>
        <w:t>⑤　因乙方管理或运行操作不当等，造成飞灰固化系统设备或其他配套设施损坏的，甲方有权自行或安排第三方处理，所产生的费用由乙方承担，并承担甲方因此造成的其他一切损失（设备盗失或不可抗力情况除外）。情节严重的，甲方有权解除合同。</w:t>
      </w:r>
    </w:p>
    <w:p w14:paraId="06A05797">
      <w:pPr>
        <w:rPr>
          <w:rFonts w:hint="eastAsia" w:ascii="宋体" w:hAnsi="宋体" w:eastAsia="宋体" w:cs="宋体"/>
          <w:szCs w:val="24"/>
        </w:rPr>
      </w:pPr>
      <w:r>
        <w:rPr>
          <w:rFonts w:hint="eastAsia" w:ascii="宋体" w:hAnsi="宋体" w:eastAsia="宋体" w:cs="宋体"/>
          <w:szCs w:val="24"/>
        </w:rPr>
        <w:t>⑥　乙方故障响应时间超过合同约定时限，每发生一次考核1000-5000元/次，造成甲方被环保部门处罚或通报的由乙方承担所有责任。</w:t>
      </w:r>
    </w:p>
    <w:p w14:paraId="504CF327">
      <w:pPr>
        <w:rPr>
          <w:rFonts w:hint="eastAsia" w:ascii="宋体" w:hAnsi="宋体" w:eastAsia="宋体" w:cs="宋体"/>
          <w:szCs w:val="24"/>
        </w:rPr>
      </w:pPr>
      <w:r>
        <w:rPr>
          <w:rFonts w:hint="eastAsia" w:ascii="宋体" w:hAnsi="宋体" w:eastAsia="宋体" w:cs="宋体"/>
          <w:szCs w:val="24"/>
        </w:rPr>
        <w:t>⑦　乙方驻厂工作人员未经甲方批准，擅自离开本项目的，每发生一人次考核500元/天；</w:t>
      </w:r>
    </w:p>
    <w:p w14:paraId="3318FAF5">
      <w:pPr>
        <w:rPr>
          <w:rFonts w:hint="eastAsia" w:ascii="宋体" w:hAnsi="宋体" w:eastAsia="宋体" w:cs="宋体"/>
          <w:szCs w:val="24"/>
        </w:rPr>
      </w:pPr>
      <w:r>
        <w:rPr>
          <w:rFonts w:hint="eastAsia" w:ascii="宋体" w:hAnsi="宋体" w:eastAsia="宋体" w:cs="宋体"/>
          <w:szCs w:val="24"/>
        </w:rPr>
        <w:t>⑧　甲方认为乙方驻厂工作人员存在不良行为或不能胜任相应岗位的，有权要求乙方予以撤换，乙方应及时撤换。乙方无正当理由拒绝更换驻厂人员的，每发生一人次考核5000元。</w:t>
      </w:r>
    </w:p>
    <w:p w14:paraId="60605009">
      <w:pPr>
        <w:rPr>
          <w:rFonts w:hint="eastAsia" w:ascii="宋体" w:hAnsi="宋体" w:eastAsia="宋体" w:cs="宋体"/>
          <w:szCs w:val="24"/>
        </w:rPr>
      </w:pPr>
      <w:r>
        <w:rPr>
          <w:rFonts w:hint="eastAsia" w:ascii="宋体" w:hAnsi="宋体" w:eastAsia="宋体" w:cs="宋体"/>
          <w:szCs w:val="24"/>
        </w:rPr>
        <w:t>⑨　其他考核项目：</w:t>
      </w:r>
    </w:p>
    <w:p w14:paraId="69EB4A99">
      <w:pPr>
        <w:rPr>
          <w:rFonts w:hint="eastAsia" w:ascii="宋体" w:hAnsi="宋体" w:eastAsia="宋体" w:cs="宋体"/>
          <w:szCs w:val="24"/>
        </w:rPr>
      </w:pPr>
      <w:r>
        <w:rPr>
          <w:rFonts w:hint="eastAsia" w:ascii="宋体" w:hAnsi="宋体" w:eastAsia="宋体" w:cs="宋体"/>
          <w:szCs w:val="24"/>
        </w:rPr>
        <w:t>序号</w:t>
      </w:r>
      <w:r>
        <w:rPr>
          <w:rFonts w:hint="eastAsia" w:ascii="宋体" w:hAnsi="宋体" w:eastAsia="宋体" w:cs="宋体"/>
          <w:szCs w:val="24"/>
        </w:rPr>
        <w:tab/>
      </w:r>
      <w:r>
        <w:rPr>
          <w:rFonts w:hint="eastAsia" w:ascii="宋体" w:hAnsi="宋体" w:eastAsia="宋体" w:cs="宋体"/>
          <w:szCs w:val="24"/>
        </w:rPr>
        <w:t>考核项目</w:t>
      </w:r>
      <w:r>
        <w:rPr>
          <w:rFonts w:hint="eastAsia" w:ascii="宋体" w:hAnsi="宋体" w:eastAsia="宋体" w:cs="宋体"/>
          <w:szCs w:val="24"/>
        </w:rPr>
        <w:tab/>
      </w:r>
      <w:r>
        <w:rPr>
          <w:rFonts w:hint="eastAsia" w:ascii="宋体" w:hAnsi="宋体" w:eastAsia="宋体" w:cs="宋体"/>
          <w:szCs w:val="24"/>
        </w:rPr>
        <w:t>考核标准</w:t>
      </w:r>
    </w:p>
    <w:p w14:paraId="0299CDEA">
      <w:pPr>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rPr>
        <w:tab/>
      </w:r>
      <w:r>
        <w:rPr>
          <w:rFonts w:hint="eastAsia" w:ascii="宋体" w:hAnsi="宋体" w:eastAsia="宋体" w:cs="宋体"/>
          <w:szCs w:val="24"/>
        </w:rPr>
        <w:t>因乙方原因造成环境污染事件</w:t>
      </w:r>
      <w:r>
        <w:rPr>
          <w:rFonts w:hint="eastAsia" w:ascii="宋体" w:hAnsi="宋体" w:eastAsia="宋体" w:cs="宋体"/>
          <w:szCs w:val="24"/>
        </w:rPr>
        <w:tab/>
      </w:r>
      <w:r>
        <w:rPr>
          <w:rFonts w:hint="eastAsia" w:ascii="宋体" w:hAnsi="宋体" w:eastAsia="宋体" w:cs="宋体"/>
          <w:szCs w:val="24"/>
        </w:rPr>
        <w:t>考核10000元/次，并承担由此产生的所有费用</w:t>
      </w:r>
    </w:p>
    <w:p w14:paraId="617D46EC">
      <w:pPr>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4"/>
        </w:rPr>
        <w:tab/>
      </w:r>
      <w:r>
        <w:rPr>
          <w:rFonts w:hint="eastAsia" w:ascii="宋体" w:hAnsi="宋体" w:eastAsia="宋体" w:cs="宋体"/>
          <w:szCs w:val="24"/>
        </w:rPr>
        <w:t>飞灰稳定化量不足（需要委托第三方处理）</w:t>
      </w:r>
      <w:r>
        <w:rPr>
          <w:rFonts w:hint="eastAsia" w:ascii="宋体" w:hAnsi="宋体" w:eastAsia="宋体" w:cs="宋体"/>
          <w:szCs w:val="24"/>
        </w:rPr>
        <w:tab/>
      </w:r>
      <w:r>
        <w:rPr>
          <w:rFonts w:hint="eastAsia" w:ascii="宋体" w:hAnsi="宋体" w:eastAsia="宋体" w:cs="宋体"/>
          <w:szCs w:val="24"/>
        </w:rPr>
        <w:t>考核10000元/次，并承担由此产生的所有费用</w:t>
      </w:r>
    </w:p>
    <w:p w14:paraId="1E16BF6E">
      <w:pPr>
        <w:rPr>
          <w:rFonts w:hint="eastAsia" w:ascii="宋体" w:hAnsi="宋体" w:eastAsia="宋体" w:cs="宋体"/>
          <w:szCs w:val="24"/>
        </w:rPr>
      </w:pPr>
      <w:r>
        <w:rPr>
          <w:rFonts w:hint="eastAsia" w:ascii="宋体" w:hAnsi="宋体" w:eastAsia="宋体" w:cs="宋体"/>
          <w:szCs w:val="24"/>
        </w:rPr>
        <w:t>3</w:t>
      </w:r>
      <w:r>
        <w:rPr>
          <w:rFonts w:hint="eastAsia" w:ascii="宋体" w:hAnsi="宋体" w:eastAsia="宋体" w:cs="宋体"/>
          <w:szCs w:val="24"/>
        </w:rPr>
        <w:tab/>
      </w:r>
      <w:r>
        <w:rPr>
          <w:rFonts w:hint="eastAsia" w:ascii="宋体" w:hAnsi="宋体" w:eastAsia="宋体" w:cs="宋体"/>
          <w:szCs w:val="24"/>
        </w:rPr>
        <w:t>因乙方原因造成飞灰稳定化物检测指标不合格</w:t>
      </w:r>
      <w:r>
        <w:rPr>
          <w:rFonts w:hint="eastAsia" w:ascii="宋体" w:hAnsi="宋体" w:eastAsia="宋体" w:cs="宋体"/>
          <w:szCs w:val="24"/>
        </w:rPr>
        <w:tab/>
      </w:r>
      <w:r>
        <w:rPr>
          <w:rFonts w:hint="eastAsia" w:ascii="宋体" w:hAnsi="宋体" w:eastAsia="宋体" w:cs="宋体"/>
          <w:szCs w:val="24"/>
        </w:rPr>
        <w:t>考核10000元/次，并承担由此产生的所有费用</w:t>
      </w:r>
    </w:p>
    <w:p w14:paraId="69BA9475">
      <w:pPr>
        <w:rPr>
          <w:rFonts w:hint="eastAsia" w:ascii="宋体" w:hAnsi="宋体" w:eastAsia="宋体" w:cs="宋体"/>
          <w:szCs w:val="24"/>
        </w:rPr>
      </w:pPr>
      <w:r>
        <w:rPr>
          <w:rFonts w:hint="eastAsia" w:ascii="宋体" w:hAnsi="宋体" w:eastAsia="宋体" w:cs="宋体"/>
          <w:szCs w:val="24"/>
        </w:rPr>
        <w:t>4</w:t>
      </w:r>
      <w:r>
        <w:rPr>
          <w:rFonts w:hint="eastAsia" w:ascii="宋体" w:hAnsi="宋体" w:eastAsia="宋体" w:cs="宋体"/>
          <w:szCs w:val="24"/>
        </w:rPr>
        <w:tab/>
      </w:r>
      <w:r>
        <w:rPr>
          <w:rFonts w:hint="eastAsia" w:ascii="宋体" w:hAnsi="宋体" w:eastAsia="宋体" w:cs="宋体"/>
          <w:szCs w:val="24"/>
        </w:rPr>
        <w:t>损坏或丢弃设备标识牌</w:t>
      </w:r>
      <w:r>
        <w:rPr>
          <w:rFonts w:hint="eastAsia" w:ascii="宋体" w:hAnsi="宋体" w:eastAsia="宋体" w:cs="宋体"/>
          <w:szCs w:val="24"/>
        </w:rPr>
        <w:tab/>
      </w:r>
      <w:r>
        <w:rPr>
          <w:rFonts w:hint="eastAsia" w:ascii="宋体" w:hAnsi="宋体" w:eastAsia="宋体" w:cs="宋体"/>
          <w:szCs w:val="24"/>
        </w:rPr>
        <w:t>考核200元/次</w:t>
      </w:r>
    </w:p>
    <w:p w14:paraId="35DE40DE">
      <w:pPr>
        <w:rPr>
          <w:rFonts w:hint="eastAsia" w:ascii="宋体" w:hAnsi="宋体" w:eastAsia="宋体" w:cs="宋体"/>
          <w:szCs w:val="24"/>
        </w:rPr>
      </w:pPr>
      <w:r>
        <w:rPr>
          <w:rFonts w:hint="eastAsia" w:ascii="宋体" w:hAnsi="宋体" w:eastAsia="宋体" w:cs="宋体"/>
          <w:szCs w:val="24"/>
        </w:rPr>
        <w:t>5</w:t>
      </w:r>
      <w:r>
        <w:rPr>
          <w:rFonts w:hint="eastAsia" w:ascii="宋体" w:hAnsi="宋体" w:eastAsia="宋体" w:cs="宋体"/>
          <w:szCs w:val="24"/>
        </w:rPr>
        <w:tab/>
      </w:r>
      <w:r>
        <w:rPr>
          <w:rFonts w:hint="eastAsia" w:ascii="宋体" w:hAnsi="宋体" w:eastAsia="宋体" w:cs="宋体"/>
          <w:szCs w:val="24"/>
        </w:rPr>
        <w:t>维护作业未做到工完料净场地清</w:t>
      </w:r>
      <w:r>
        <w:rPr>
          <w:rFonts w:hint="eastAsia" w:ascii="宋体" w:hAnsi="宋体" w:eastAsia="宋体" w:cs="宋体"/>
          <w:szCs w:val="24"/>
        </w:rPr>
        <w:tab/>
      </w:r>
      <w:r>
        <w:rPr>
          <w:rFonts w:hint="eastAsia" w:ascii="宋体" w:hAnsi="宋体" w:eastAsia="宋体" w:cs="宋体"/>
          <w:szCs w:val="24"/>
        </w:rPr>
        <w:t>考核500元/次/处</w:t>
      </w:r>
    </w:p>
    <w:p w14:paraId="2A6B61DC">
      <w:pPr>
        <w:rPr>
          <w:rFonts w:hint="eastAsia" w:ascii="宋体" w:hAnsi="宋体" w:eastAsia="宋体" w:cs="宋体"/>
          <w:szCs w:val="24"/>
        </w:rPr>
      </w:pPr>
      <w:r>
        <w:rPr>
          <w:rFonts w:hint="eastAsia" w:ascii="宋体" w:hAnsi="宋体" w:eastAsia="宋体" w:cs="宋体"/>
          <w:szCs w:val="24"/>
        </w:rPr>
        <w:t>6</w:t>
      </w:r>
      <w:r>
        <w:rPr>
          <w:rFonts w:hint="eastAsia" w:ascii="宋体" w:hAnsi="宋体" w:eastAsia="宋体" w:cs="宋体"/>
          <w:szCs w:val="24"/>
        </w:rPr>
        <w:tab/>
      </w:r>
      <w:r>
        <w:rPr>
          <w:rFonts w:hint="eastAsia" w:ascii="宋体" w:hAnsi="宋体" w:eastAsia="宋体" w:cs="宋体"/>
          <w:szCs w:val="24"/>
        </w:rPr>
        <w:t>不如实汇报工作情况或隐瞒事实真相</w:t>
      </w:r>
      <w:r>
        <w:rPr>
          <w:rFonts w:hint="eastAsia" w:ascii="宋体" w:hAnsi="宋体" w:eastAsia="宋体" w:cs="宋体"/>
          <w:szCs w:val="24"/>
        </w:rPr>
        <w:tab/>
      </w:r>
      <w:r>
        <w:rPr>
          <w:rFonts w:hint="eastAsia" w:ascii="宋体" w:hAnsi="宋体" w:eastAsia="宋体" w:cs="宋体"/>
          <w:szCs w:val="24"/>
        </w:rPr>
        <w:t>考核2000元/次</w:t>
      </w:r>
    </w:p>
    <w:p w14:paraId="74960D42">
      <w:pPr>
        <w:rPr>
          <w:rFonts w:hint="eastAsia" w:ascii="宋体" w:hAnsi="宋体" w:eastAsia="宋体" w:cs="宋体"/>
          <w:szCs w:val="24"/>
        </w:rPr>
      </w:pPr>
      <w:r>
        <w:rPr>
          <w:rFonts w:hint="eastAsia" w:ascii="宋体" w:hAnsi="宋体" w:eastAsia="宋体" w:cs="宋体"/>
          <w:szCs w:val="24"/>
        </w:rPr>
        <w:t>7</w:t>
      </w:r>
      <w:r>
        <w:rPr>
          <w:rFonts w:hint="eastAsia" w:ascii="宋体" w:hAnsi="宋体" w:eastAsia="宋体" w:cs="宋体"/>
          <w:szCs w:val="24"/>
        </w:rPr>
        <w:tab/>
      </w:r>
      <w:r>
        <w:rPr>
          <w:rFonts w:hint="eastAsia" w:ascii="宋体" w:hAnsi="宋体" w:eastAsia="宋体" w:cs="宋体"/>
          <w:szCs w:val="24"/>
        </w:rPr>
        <w:t>人为损坏随机备件或铺张浪费</w:t>
      </w:r>
      <w:r>
        <w:rPr>
          <w:rFonts w:hint="eastAsia" w:ascii="宋体" w:hAnsi="宋体" w:eastAsia="宋体" w:cs="宋体"/>
          <w:szCs w:val="24"/>
        </w:rPr>
        <w:tab/>
      </w:r>
      <w:r>
        <w:rPr>
          <w:rFonts w:hint="eastAsia" w:ascii="宋体" w:hAnsi="宋体" w:eastAsia="宋体" w:cs="宋体"/>
          <w:szCs w:val="24"/>
        </w:rPr>
        <w:t>按甲方购买价的150％考核</w:t>
      </w:r>
    </w:p>
    <w:p w14:paraId="3B87A319">
      <w:pPr>
        <w:rPr>
          <w:rFonts w:hint="eastAsia" w:ascii="宋体" w:hAnsi="宋体" w:eastAsia="宋体" w:cs="宋体"/>
          <w:szCs w:val="24"/>
        </w:rPr>
      </w:pPr>
      <w:r>
        <w:rPr>
          <w:rFonts w:hint="eastAsia" w:ascii="宋体" w:hAnsi="宋体" w:eastAsia="宋体" w:cs="宋体"/>
          <w:szCs w:val="24"/>
        </w:rPr>
        <w:t>8</w:t>
      </w:r>
      <w:r>
        <w:rPr>
          <w:rFonts w:hint="eastAsia" w:ascii="宋体" w:hAnsi="宋体" w:eastAsia="宋体" w:cs="宋体"/>
          <w:szCs w:val="24"/>
        </w:rPr>
        <w:tab/>
      </w:r>
      <w:r>
        <w:rPr>
          <w:rFonts w:hint="eastAsia" w:ascii="宋体" w:hAnsi="宋体" w:eastAsia="宋体" w:cs="宋体"/>
          <w:szCs w:val="24"/>
        </w:rPr>
        <w:t>损坏从甲方借用的专用工器具</w:t>
      </w:r>
      <w:r>
        <w:rPr>
          <w:rFonts w:hint="eastAsia" w:ascii="宋体" w:hAnsi="宋体" w:eastAsia="宋体" w:cs="宋体"/>
          <w:szCs w:val="24"/>
        </w:rPr>
        <w:tab/>
      </w:r>
      <w:r>
        <w:rPr>
          <w:rFonts w:hint="eastAsia" w:ascii="宋体" w:hAnsi="宋体" w:eastAsia="宋体" w:cs="宋体"/>
          <w:szCs w:val="24"/>
        </w:rPr>
        <w:t>乙方能修复的考核200元/项；损坏严重的按甲方购买价赔偿</w:t>
      </w:r>
    </w:p>
    <w:p w14:paraId="5D88D550">
      <w:pPr>
        <w:rPr>
          <w:rFonts w:hint="eastAsia" w:ascii="宋体" w:hAnsi="宋体" w:eastAsia="宋体" w:cs="宋体"/>
          <w:szCs w:val="24"/>
        </w:rPr>
      </w:pPr>
      <w:r>
        <w:rPr>
          <w:rFonts w:hint="eastAsia" w:ascii="宋体" w:hAnsi="宋体" w:eastAsia="宋体" w:cs="宋体"/>
          <w:szCs w:val="24"/>
        </w:rPr>
        <w:t>9</w:t>
      </w:r>
      <w:r>
        <w:rPr>
          <w:rFonts w:hint="eastAsia" w:ascii="宋体" w:hAnsi="宋体" w:eastAsia="宋体" w:cs="宋体"/>
          <w:szCs w:val="24"/>
        </w:rPr>
        <w:tab/>
      </w:r>
      <w:r>
        <w:rPr>
          <w:rFonts w:hint="eastAsia" w:ascii="宋体" w:hAnsi="宋体" w:eastAsia="宋体" w:cs="宋体"/>
          <w:szCs w:val="24"/>
        </w:rPr>
        <w:t>因乙方运行、维护、原因维修质量或过失等导致使甲方被迫降低设备系统或机组出力（非乙方单方责任的以事故分析结果为准）</w:t>
      </w:r>
      <w:r>
        <w:rPr>
          <w:rFonts w:hint="eastAsia" w:ascii="宋体" w:hAnsi="宋体" w:eastAsia="宋体" w:cs="宋体"/>
          <w:szCs w:val="24"/>
        </w:rPr>
        <w:tab/>
      </w:r>
      <w:r>
        <w:rPr>
          <w:rFonts w:hint="eastAsia" w:ascii="宋体" w:hAnsi="宋体" w:eastAsia="宋体" w:cs="宋体"/>
          <w:szCs w:val="24"/>
        </w:rPr>
        <w:t>参照甲方相关管理制度执行</w:t>
      </w:r>
    </w:p>
    <w:p w14:paraId="656C5918">
      <w:pPr>
        <w:rPr>
          <w:rFonts w:hint="eastAsia" w:ascii="宋体" w:hAnsi="宋体" w:eastAsia="宋体" w:cs="宋体"/>
          <w:szCs w:val="24"/>
        </w:rPr>
      </w:pPr>
      <w:r>
        <w:rPr>
          <w:rFonts w:hint="eastAsia" w:ascii="宋体" w:hAnsi="宋体" w:eastAsia="宋体" w:cs="宋体"/>
          <w:szCs w:val="24"/>
        </w:rPr>
        <w:t>10</w:t>
      </w:r>
      <w:r>
        <w:rPr>
          <w:rFonts w:hint="eastAsia" w:ascii="宋体" w:hAnsi="宋体" w:eastAsia="宋体" w:cs="宋体"/>
          <w:szCs w:val="24"/>
        </w:rPr>
        <w:tab/>
      </w:r>
      <w:r>
        <w:rPr>
          <w:rFonts w:hint="eastAsia" w:ascii="宋体" w:hAnsi="宋体" w:eastAsia="宋体" w:cs="宋体"/>
          <w:szCs w:val="24"/>
        </w:rPr>
        <w:t>主要设备出现泄漏</w:t>
      </w:r>
      <w:r>
        <w:rPr>
          <w:rFonts w:hint="eastAsia" w:ascii="宋体" w:hAnsi="宋体" w:eastAsia="宋体" w:cs="宋体"/>
          <w:szCs w:val="24"/>
        </w:rPr>
        <w:tab/>
      </w:r>
      <w:r>
        <w:rPr>
          <w:rFonts w:hint="eastAsia" w:ascii="宋体" w:hAnsi="宋体" w:eastAsia="宋体" w:cs="宋体"/>
          <w:szCs w:val="24"/>
        </w:rPr>
        <w:t>严重漏点考核200元/处：一般漏点考核100元/处</w:t>
      </w:r>
    </w:p>
    <w:p w14:paraId="08A2D14D">
      <w:pPr>
        <w:rPr>
          <w:rFonts w:hint="eastAsia" w:ascii="宋体" w:hAnsi="宋体" w:eastAsia="宋体" w:cs="宋体"/>
          <w:szCs w:val="24"/>
        </w:rPr>
      </w:pPr>
      <w:r>
        <w:rPr>
          <w:rFonts w:hint="eastAsia" w:ascii="宋体" w:hAnsi="宋体" w:eastAsia="宋体" w:cs="宋体"/>
          <w:szCs w:val="24"/>
        </w:rPr>
        <w:t>11</w:t>
      </w:r>
      <w:r>
        <w:rPr>
          <w:rFonts w:hint="eastAsia" w:ascii="宋体" w:hAnsi="宋体" w:eastAsia="宋体" w:cs="宋体"/>
          <w:szCs w:val="24"/>
        </w:rPr>
        <w:tab/>
      </w:r>
      <w:r>
        <w:rPr>
          <w:rFonts w:hint="eastAsia" w:ascii="宋体" w:hAnsi="宋体" w:eastAsia="宋体" w:cs="宋体"/>
          <w:szCs w:val="24"/>
        </w:rPr>
        <w:t>安全工作</w:t>
      </w:r>
      <w:r>
        <w:rPr>
          <w:rFonts w:hint="eastAsia" w:ascii="宋体" w:hAnsi="宋体" w:eastAsia="宋体" w:cs="宋体"/>
          <w:szCs w:val="24"/>
        </w:rPr>
        <w:tab/>
      </w:r>
      <w:r>
        <w:rPr>
          <w:rFonts w:hint="eastAsia" w:ascii="宋体" w:hAnsi="宋体" w:eastAsia="宋体" w:cs="宋体"/>
          <w:szCs w:val="24"/>
        </w:rPr>
        <w:t>按甲方管理制度执行</w:t>
      </w:r>
    </w:p>
    <w:p w14:paraId="694439CE">
      <w:pPr>
        <w:rPr>
          <w:rFonts w:hint="eastAsia" w:ascii="宋体" w:hAnsi="宋体" w:eastAsia="宋体" w:cs="宋体"/>
          <w:szCs w:val="24"/>
        </w:rPr>
      </w:pPr>
      <w:r>
        <w:rPr>
          <w:rFonts w:hint="eastAsia" w:ascii="宋体" w:hAnsi="宋体" w:eastAsia="宋体" w:cs="宋体"/>
          <w:szCs w:val="24"/>
        </w:rPr>
        <w:t>12</w:t>
      </w:r>
      <w:r>
        <w:rPr>
          <w:rFonts w:hint="eastAsia" w:ascii="宋体" w:hAnsi="宋体" w:eastAsia="宋体" w:cs="宋体"/>
          <w:szCs w:val="24"/>
        </w:rPr>
        <w:tab/>
      </w:r>
      <w:r>
        <w:rPr>
          <w:rFonts w:hint="eastAsia" w:ascii="宋体" w:hAnsi="宋体" w:eastAsia="宋体" w:cs="宋体"/>
          <w:szCs w:val="24"/>
        </w:rPr>
        <w:t>不按规定佩戴工作卡</w:t>
      </w:r>
      <w:r>
        <w:rPr>
          <w:rFonts w:hint="eastAsia" w:ascii="宋体" w:hAnsi="宋体" w:eastAsia="宋体" w:cs="宋体"/>
          <w:szCs w:val="24"/>
        </w:rPr>
        <w:tab/>
      </w:r>
      <w:r>
        <w:rPr>
          <w:rFonts w:hint="eastAsia" w:ascii="宋体" w:hAnsi="宋体" w:eastAsia="宋体" w:cs="宋体"/>
          <w:szCs w:val="24"/>
        </w:rPr>
        <w:t>拒绝进入厂区</w:t>
      </w:r>
    </w:p>
    <w:p w14:paraId="796A94EF">
      <w:pPr>
        <w:rPr>
          <w:rFonts w:hint="eastAsia" w:ascii="宋体" w:hAnsi="宋体" w:eastAsia="宋体" w:cs="宋体"/>
          <w:szCs w:val="24"/>
        </w:rPr>
      </w:pPr>
      <w:r>
        <w:rPr>
          <w:rFonts w:hint="eastAsia" w:ascii="宋体" w:hAnsi="宋体" w:eastAsia="宋体" w:cs="宋体"/>
          <w:szCs w:val="24"/>
        </w:rPr>
        <w:t>13</w:t>
      </w:r>
      <w:r>
        <w:rPr>
          <w:rFonts w:hint="eastAsia" w:ascii="宋体" w:hAnsi="宋体" w:eastAsia="宋体" w:cs="宋体"/>
          <w:szCs w:val="24"/>
        </w:rPr>
        <w:tab/>
      </w:r>
      <w:r>
        <w:rPr>
          <w:rFonts w:hint="eastAsia" w:ascii="宋体" w:hAnsi="宋体" w:eastAsia="宋体" w:cs="宋体"/>
          <w:szCs w:val="24"/>
        </w:rPr>
        <w:t>上班期间不佩戴工作卡，不着统一工作服</w:t>
      </w:r>
      <w:r>
        <w:rPr>
          <w:rFonts w:hint="eastAsia" w:ascii="宋体" w:hAnsi="宋体" w:eastAsia="宋体" w:cs="宋体"/>
          <w:szCs w:val="24"/>
        </w:rPr>
        <w:tab/>
      </w:r>
      <w:r>
        <w:rPr>
          <w:rFonts w:hint="eastAsia" w:ascii="宋体" w:hAnsi="宋体" w:eastAsia="宋体" w:cs="宋体"/>
          <w:szCs w:val="24"/>
        </w:rPr>
        <w:t>考核50元/人/次</w:t>
      </w:r>
    </w:p>
    <w:p w14:paraId="08E093C2">
      <w:pPr>
        <w:rPr>
          <w:rFonts w:hint="eastAsia" w:ascii="宋体" w:hAnsi="宋体" w:eastAsia="宋体" w:cs="宋体"/>
          <w:szCs w:val="24"/>
        </w:rPr>
      </w:pPr>
      <w:r>
        <w:rPr>
          <w:rFonts w:hint="eastAsia" w:ascii="宋体" w:hAnsi="宋体" w:eastAsia="宋体" w:cs="宋体"/>
          <w:szCs w:val="24"/>
        </w:rPr>
        <w:t>14</w:t>
      </w:r>
      <w:r>
        <w:rPr>
          <w:rFonts w:hint="eastAsia" w:ascii="宋体" w:hAnsi="宋体" w:eastAsia="宋体" w:cs="宋体"/>
          <w:szCs w:val="24"/>
        </w:rPr>
        <w:tab/>
      </w:r>
      <w:r>
        <w:rPr>
          <w:rFonts w:hint="eastAsia" w:ascii="宋体" w:hAnsi="宋体" w:eastAsia="宋体" w:cs="宋体"/>
          <w:szCs w:val="24"/>
        </w:rPr>
        <w:t>在非吸烟区吸烟</w:t>
      </w:r>
      <w:r>
        <w:rPr>
          <w:rFonts w:hint="eastAsia" w:ascii="宋体" w:hAnsi="宋体" w:eastAsia="宋体" w:cs="宋体"/>
          <w:szCs w:val="24"/>
        </w:rPr>
        <w:tab/>
      </w:r>
      <w:r>
        <w:rPr>
          <w:rFonts w:hint="eastAsia" w:ascii="宋体" w:hAnsi="宋体" w:eastAsia="宋体" w:cs="宋体"/>
          <w:szCs w:val="24"/>
        </w:rPr>
        <w:t>考核500元/人/次，造成事故损失的由乙方承担所有赔偿责任</w:t>
      </w:r>
    </w:p>
    <w:p w14:paraId="2A912191">
      <w:pPr>
        <w:rPr>
          <w:rFonts w:hint="eastAsia" w:ascii="宋体" w:hAnsi="宋体" w:eastAsia="宋体" w:cs="宋体"/>
          <w:szCs w:val="24"/>
        </w:rPr>
      </w:pPr>
      <w:r>
        <w:rPr>
          <w:rFonts w:hint="eastAsia" w:ascii="宋体" w:hAnsi="宋体" w:eastAsia="宋体" w:cs="宋体"/>
          <w:szCs w:val="24"/>
        </w:rPr>
        <w:t>15</w:t>
      </w:r>
      <w:r>
        <w:rPr>
          <w:rFonts w:hint="eastAsia" w:ascii="宋体" w:hAnsi="宋体" w:eastAsia="宋体" w:cs="宋体"/>
          <w:szCs w:val="24"/>
        </w:rPr>
        <w:tab/>
      </w:r>
      <w:r>
        <w:rPr>
          <w:rFonts w:hint="eastAsia" w:ascii="宋体" w:hAnsi="宋体" w:eastAsia="宋体" w:cs="宋体"/>
          <w:szCs w:val="24"/>
        </w:rPr>
        <w:t>不服从甲方指挥，劝告</w:t>
      </w:r>
      <w:r>
        <w:rPr>
          <w:rFonts w:hint="eastAsia" w:ascii="宋体" w:hAnsi="宋体" w:eastAsia="宋体" w:cs="宋体"/>
          <w:szCs w:val="24"/>
        </w:rPr>
        <w:tab/>
      </w:r>
      <w:r>
        <w:rPr>
          <w:rFonts w:hint="eastAsia" w:ascii="宋体" w:hAnsi="宋体" w:eastAsia="宋体" w:cs="宋体"/>
          <w:szCs w:val="24"/>
        </w:rPr>
        <w:t>考核500元/人/次；态度恶劣、滋生是非的加倍考核，并不得在厂区工作</w:t>
      </w:r>
    </w:p>
    <w:p w14:paraId="1CC171F9">
      <w:pPr>
        <w:rPr>
          <w:rFonts w:hint="eastAsia" w:ascii="宋体" w:hAnsi="宋体" w:eastAsia="宋体" w:cs="宋体"/>
          <w:szCs w:val="24"/>
        </w:rPr>
      </w:pPr>
      <w:r>
        <w:rPr>
          <w:rFonts w:hint="eastAsia" w:ascii="宋体" w:hAnsi="宋体" w:eastAsia="宋体" w:cs="宋体"/>
          <w:szCs w:val="24"/>
        </w:rPr>
        <w:t>16</w:t>
      </w:r>
      <w:r>
        <w:rPr>
          <w:rFonts w:hint="eastAsia" w:ascii="宋体" w:hAnsi="宋体" w:eastAsia="宋体" w:cs="宋体"/>
          <w:szCs w:val="24"/>
        </w:rPr>
        <w:tab/>
      </w:r>
      <w:r>
        <w:rPr>
          <w:rFonts w:hint="eastAsia" w:ascii="宋体" w:hAnsi="宋体" w:eastAsia="宋体" w:cs="宋体"/>
          <w:szCs w:val="24"/>
        </w:rPr>
        <w:t>未按合同规定配置人员数量</w:t>
      </w:r>
      <w:r>
        <w:rPr>
          <w:rFonts w:hint="eastAsia" w:ascii="宋体" w:hAnsi="宋体" w:eastAsia="宋体" w:cs="宋体"/>
          <w:szCs w:val="24"/>
        </w:rPr>
        <w:tab/>
      </w:r>
      <w:r>
        <w:rPr>
          <w:rFonts w:hint="eastAsia" w:ascii="宋体" w:hAnsi="宋体" w:eastAsia="宋体" w:cs="宋体"/>
          <w:szCs w:val="24"/>
        </w:rPr>
        <w:t>考核5000元/人次</w:t>
      </w:r>
    </w:p>
    <w:p w14:paraId="443E1D12">
      <w:pPr>
        <w:rPr>
          <w:rFonts w:hint="eastAsia" w:ascii="宋体" w:hAnsi="宋体" w:eastAsia="宋体" w:cs="宋体"/>
          <w:szCs w:val="24"/>
        </w:rPr>
      </w:pPr>
      <w:r>
        <w:rPr>
          <w:rFonts w:hint="eastAsia" w:ascii="宋体" w:hAnsi="宋体" w:eastAsia="宋体" w:cs="宋体"/>
          <w:szCs w:val="24"/>
        </w:rPr>
        <w:t>17</w:t>
      </w:r>
      <w:r>
        <w:rPr>
          <w:rFonts w:hint="eastAsia" w:ascii="宋体" w:hAnsi="宋体" w:eastAsia="宋体" w:cs="宋体"/>
          <w:szCs w:val="24"/>
        </w:rPr>
        <w:tab/>
      </w:r>
      <w:r>
        <w:rPr>
          <w:rFonts w:hint="eastAsia" w:ascii="宋体" w:hAnsi="宋体" w:eastAsia="宋体" w:cs="宋体"/>
          <w:szCs w:val="24"/>
        </w:rPr>
        <w:t>清洁工作检查不合格</w:t>
      </w:r>
      <w:r>
        <w:rPr>
          <w:rFonts w:hint="eastAsia" w:ascii="宋体" w:hAnsi="宋体" w:eastAsia="宋体" w:cs="宋体"/>
          <w:szCs w:val="24"/>
        </w:rPr>
        <w:tab/>
      </w:r>
      <w:r>
        <w:rPr>
          <w:rFonts w:hint="eastAsia" w:ascii="宋体" w:hAnsi="宋体" w:eastAsia="宋体" w:cs="宋体"/>
          <w:szCs w:val="24"/>
        </w:rPr>
        <w:t>考核100元/次/项</w:t>
      </w:r>
    </w:p>
    <w:p w14:paraId="1DEE1D8C">
      <w:pPr>
        <w:rPr>
          <w:rFonts w:hint="eastAsia" w:ascii="宋体" w:hAnsi="宋体" w:eastAsia="宋体" w:cs="宋体"/>
          <w:b/>
          <w:bCs/>
          <w:szCs w:val="24"/>
        </w:rPr>
      </w:pPr>
      <w:r>
        <w:rPr>
          <w:rFonts w:hint="eastAsia" w:ascii="宋体" w:hAnsi="宋体" w:eastAsia="宋体" w:cs="宋体"/>
          <w:b/>
          <w:bCs/>
          <w:szCs w:val="24"/>
        </w:rPr>
        <w:t>十一、保险：</w:t>
      </w:r>
    </w:p>
    <w:p w14:paraId="52F04DD0">
      <w:pPr>
        <w:rPr>
          <w:rFonts w:hint="eastAsia" w:ascii="宋体" w:hAnsi="宋体" w:eastAsia="宋体" w:cs="宋体"/>
          <w:szCs w:val="24"/>
        </w:rPr>
      </w:pPr>
      <w:r>
        <w:rPr>
          <w:rFonts w:hint="eastAsia" w:ascii="宋体" w:hAnsi="宋体" w:eastAsia="宋体" w:cs="宋体"/>
          <w:szCs w:val="24"/>
        </w:rPr>
        <w:t>11.1 乙方应为本项目派遣的职工办理工伤保险、意外伤害保险，并为本项目内自有人员生命财产、机械设备、仪器仪表和材料及其它相关规定要求的投保范围办理保险，上述保险办理工作和相关一切费用由乙方负责和支付。</w:t>
      </w:r>
    </w:p>
    <w:p w14:paraId="67E6091D">
      <w:pPr>
        <w:rPr>
          <w:rFonts w:hint="eastAsia" w:ascii="宋体" w:hAnsi="宋体" w:eastAsia="宋体" w:cs="宋体"/>
          <w:szCs w:val="24"/>
        </w:rPr>
      </w:pPr>
      <w:r>
        <w:rPr>
          <w:rFonts w:hint="eastAsia" w:ascii="宋体" w:hAnsi="宋体" w:eastAsia="宋体" w:cs="宋体"/>
          <w:szCs w:val="24"/>
        </w:rPr>
        <w:t>11.2 乙方需向甲方提供上述保险单复印件备案。保险事故发生时，双方有责任尽力采取必要措施防止或减少损失。</w:t>
      </w:r>
    </w:p>
    <w:p w14:paraId="7EF89498">
      <w:pPr>
        <w:rPr>
          <w:rFonts w:hint="eastAsia" w:ascii="宋体" w:hAnsi="宋体" w:eastAsia="宋体" w:cs="宋体"/>
          <w:b/>
          <w:bCs/>
          <w:szCs w:val="24"/>
        </w:rPr>
      </w:pPr>
      <w:r>
        <w:rPr>
          <w:rFonts w:hint="eastAsia" w:ascii="宋体" w:hAnsi="宋体" w:eastAsia="宋体" w:cs="宋体"/>
          <w:b/>
          <w:bCs/>
          <w:szCs w:val="24"/>
        </w:rPr>
        <w:t>十二、争议解决：</w:t>
      </w:r>
    </w:p>
    <w:p w14:paraId="21697D1D">
      <w:pPr>
        <w:rPr>
          <w:rFonts w:hint="eastAsia" w:ascii="宋体" w:hAnsi="宋体" w:eastAsia="宋体" w:cs="宋体"/>
          <w:szCs w:val="24"/>
        </w:rPr>
      </w:pPr>
      <w:r>
        <w:rPr>
          <w:rFonts w:hint="eastAsia" w:ascii="宋体" w:hAnsi="宋体" w:eastAsia="宋体" w:cs="宋体"/>
          <w:szCs w:val="24"/>
        </w:rPr>
        <w:t>双方因本合同的履行而发生的争议，应友好协商解决。协商不成，可向甲方项目所在地有管辖权的人民法院提起诉讼。</w:t>
      </w:r>
    </w:p>
    <w:p w14:paraId="66F1789B">
      <w:pPr>
        <w:rPr>
          <w:rFonts w:hint="eastAsia" w:ascii="宋体" w:hAnsi="宋体" w:eastAsia="宋体" w:cs="宋体"/>
          <w:b/>
          <w:bCs/>
          <w:szCs w:val="24"/>
        </w:rPr>
      </w:pPr>
      <w:r>
        <w:rPr>
          <w:rFonts w:hint="eastAsia" w:ascii="宋体" w:hAnsi="宋体" w:eastAsia="宋体" w:cs="宋体"/>
          <w:b/>
          <w:bCs/>
          <w:szCs w:val="24"/>
        </w:rPr>
        <w:t>十三、合同生效、终止及其他事项：</w:t>
      </w:r>
    </w:p>
    <w:p w14:paraId="58ACBF8E">
      <w:pPr>
        <w:rPr>
          <w:rFonts w:hint="eastAsia" w:ascii="宋体" w:hAnsi="宋体" w:eastAsia="宋体" w:cs="宋体"/>
          <w:szCs w:val="24"/>
        </w:rPr>
      </w:pPr>
      <w:r>
        <w:rPr>
          <w:rFonts w:hint="eastAsia" w:ascii="宋体" w:hAnsi="宋体" w:eastAsia="宋体" w:cs="宋体"/>
          <w:szCs w:val="24"/>
        </w:rPr>
        <w:t>13.1 本合同经双方法定代表人或其授权委托代理人签字并加盖公司公章之日起生效，并在双方完全履行完毕本合同规定的责任和义务后或根据本合同约定提前解除本合同时而终止。</w:t>
      </w:r>
    </w:p>
    <w:p w14:paraId="763D7DFA">
      <w:pPr>
        <w:rPr>
          <w:rFonts w:hint="eastAsia" w:ascii="宋体" w:hAnsi="宋体" w:eastAsia="宋体" w:cs="宋体"/>
          <w:szCs w:val="24"/>
        </w:rPr>
      </w:pPr>
      <w:r>
        <w:rPr>
          <w:rFonts w:hint="eastAsia" w:ascii="宋体" w:hAnsi="宋体" w:eastAsia="宋体" w:cs="宋体"/>
          <w:szCs w:val="24"/>
        </w:rPr>
        <w:t>13.2 所有与本合同有关的补充协议的签订，均以加盖甲方备案的公司用章或合同专用章后方为有效，其他以甲方名义使用的任何章印（包括但不限于甲方项目部公章）均不发生任何法律效力。</w:t>
      </w:r>
    </w:p>
    <w:p w14:paraId="3016E665">
      <w:pPr>
        <w:rPr>
          <w:rFonts w:hint="eastAsia" w:ascii="宋体" w:hAnsi="宋体" w:eastAsia="宋体" w:cs="宋体"/>
          <w:szCs w:val="24"/>
        </w:rPr>
      </w:pPr>
      <w:r>
        <w:rPr>
          <w:rFonts w:hint="eastAsia" w:ascii="宋体" w:hAnsi="宋体" w:eastAsia="宋体" w:cs="宋体"/>
          <w:szCs w:val="24"/>
        </w:rPr>
        <w:t>13.3 本合同生效前，双方已履行了本合同项下的义务的，视为在履行本合同。</w:t>
      </w:r>
    </w:p>
    <w:p w14:paraId="79916CDB">
      <w:pPr>
        <w:rPr>
          <w:rFonts w:hint="eastAsia" w:ascii="宋体" w:hAnsi="宋体" w:eastAsia="宋体" w:cs="宋体"/>
          <w:szCs w:val="24"/>
        </w:rPr>
      </w:pPr>
      <w:r>
        <w:rPr>
          <w:rFonts w:hint="eastAsia" w:ascii="宋体" w:hAnsi="宋体" w:eastAsia="宋体" w:cs="宋体"/>
          <w:szCs w:val="24"/>
        </w:rPr>
        <w:t>13.4 本合同所包括的附件是本合同不可分割的一部分，具有同等的法律效力。</w:t>
      </w:r>
    </w:p>
    <w:p w14:paraId="5B0A084A">
      <w:pPr>
        <w:rPr>
          <w:rFonts w:hint="eastAsia" w:ascii="宋体" w:hAnsi="宋体" w:eastAsia="宋体" w:cs="宋体"/>
          <w:szCs w:val="24"/>
        </w:rPr>
      </w:pPr>
      <w:r>
        <w:rPr>
          <w:rFonts w:hint="eastAsia" w:ascii="宋体" w:hAnsi="宋体" w:eastAsia="宋体" w:cs="宋体"/>
          <w:szCs w:val="24"/>
        </w:rPr>
        <w:t>13.5 本合同一式 陆 份，双方各执 叁 份，均具有同等法律效力。</w:t>
      </w:r>
    </w:p>
    <w:p w14:paraId="2AECED1B">
      <w:pPr>
        <w:rPr>
          <w:rFonts w:hint="eastAsia" w:ascii="宋体" w:hAnsi="宋体" w:eastAsia="宋体" w:cs="宋体"/>
          <w:szCs w:val="24"/>
        </w:rPr>
      </w:pPr>
      <w:r>
        <w:rPr>
          <w:rFonts w:hint="eastAsia" w:ascii="宋体" w:hAnsi="宋体" w:eastAsia="宋体" w:cs="宋体"/>
          <w:szCs w:val="24"/>
        </w:rPr>
        <w:t>附件1：《飞灰固化处理技术规范书》</w:t>
      </w:r>
    </w:p>
    <w:p w14:paraId="5E50DFB3">
      <w:pPr>
        <w:rPr>
          <w:rFonts w:hint="eastAsia" w:ascii="宋体" w:hAnsi="宋体" w:eastAsia="宋体" w:cs="宋体"/>
          <w:szCs w:val="24"/>
        </w:rPr>
      </w:pPr>
      <w:r>
        <w:rPr>
          <w:rFonts w:hint="eastAsia" w:ascii="宋体" w:hAnsi="宋体" w:eastAsia="宋体" w:cs="宋体"/>
          <w:szCs w:val="24"/>
        </w:rPr>
        <w:t>附件2：飞灰固化运行规程；</w:t>
      </w:r>
    </w:p>
    <w:p w14:paraId="5FA2CD63">
      <w:pPr>
        <w:rPr>
          <w:rFonts w:hint="eastAsia" w:ascii="宋体" w:hAnsi="宋体" w:eastAsia="宋体" w:cs="宋体"/>
          <w:szCs w:val="24"/>
        </w:rPr>
      </w:pPr>
      <w:r>
        <w:rPr>
          <w:rFonts w:hint="eastAsia" w:ascii="宋体" w:hAnsi="宋体" w:eastAsia="宋体" w:cs="宋体"/>
          <w:szCs w:val="24"/>
        </w:rPr>
        <w:t>附件3：飞灰固化运营管理制度；</w:t>
      </w:r>
    </w:p>
    <w:p w14:paraId="03AE365F">
      <w:pPr>
        <w:rPr>
          <w:rFonts w:hint="eastAsia" w:ascii="宋体" w:hAnsi="宋体" w:eastAsia="宋体" w:cs="宋体"/>
          <w:szCs w:val="24"/>
        </w:rPr>
      </w:pPr>
      <w:r>
        <w:rPr>
          <w:rFonts w:hint="eastAsia" w:ascii="宋体" w:hAnsi="宋体" w:eastAsia="宋体" w:cs="宋体"/>
          <w:szCs w:val="24"/>
        </w:rPr>
        <w:t>附件4：飞灰固化定期工作表；</w:t>
      </w:r>
    </w:p>
    <w:p w14:paraId="4D688119">
      <w:pPr>
        <w:rPr>
          <w:rFonts w:hint="eastAsia" w:ascii="宋体" w:hAnsi="宋体" w:eastAsia="宋体" w:cs="宋体"/>
          <w:szCs w:val="24"/>
        </w:rPr>
      </w:pPr>
      <w:r>
        <w:rPr>
          <w:rFonts w:hint="eastAsia" w:ascii="宋体" w:hAnsi="宋体" w:eastAsia="宋体" w:cs="宋体"/>
          <w:szCs w:val="24"/>
        </w:rPr>
        <w:t>附件5：飞灰固化日常维护记录；</w:t>
      </w:r>
    </w:p>
    <w:p w14:paraId="3D2D8AD4">
      <w:pPr>
        <w:rPr>
          <w:rFonts w:hint="eastAsia" w:ascii="宋体" w:hAnsi="宋体" w:eastAsia="宋体" w:cs="宋体"/>
          <w:szCs w:val="24"/>
        </w:rPr>
      </w:pPr>
      <w:r>
        <w:rPr>
          <w:rFonts w:hint="eastAsia" w:ascii="宋体" w:hAnsi="宋体" w:eastAsia="宋体" w:cs="宋体"/>
          <w:szCs w:val="24"/>
        </w:rPr>
        <w:t>附件6：飞灰固化生产考核表；</w:t>
      </w:r>
    </w:p>
    <w:p w14:paraId="1733AC54">
      <w:pPr>
        <w:rPr>
          <w:rFonts w:hint="eastAsia" w:ascii="宋体" w:hAnsi="宋体" w:eastAsia="宋体" w:cs="宋体"/>
          <w:szCs w:val="24"/>
        </w:rPr>
      </w:pPr>
      <w:r>
        <w:rPr>
          <w:rFonts w:hint="eastAsia" w:ascii="宋体" w:hAnsi="宋体" w:eastAsia="宋体" w:cs="宋体"/>
          <w:szCs w:val="24"/>
        </w:rPr>
        <w:t>附件7：安全、职业卫生健康和环境保护管理协议书</w:t>
      </w:r>
    </w:p>
    <w:p w14:paraId="3466C6AB">
      <w:pPr>
        <w:rPr>
          <w:rFonts w:hint="eastAsia" w:ascii="宋体" w:hAnsi="宋体" w:eastAsia="宋体" w:cs="宋体"/>
          <w:szCs w:val="24"/>
        </w:rPr>
      </w:pPr>
    </w:p>
    <w:p w14:paraId="65E051C8">
      <w:pPr>
        <w:rPr>
          <w:rFonts w:hint="eastAsia" w:ascii="宋体" w:hAnsi="宋体" w:eastAsia="宋体" w:cs="宋体"/>
          <w:szCs w:val="24"/>
        </w:rPr>
      </w:pPr>
    </w:p>
    <w:p w14:paraId="69AE4051">
      <w:pPr>
        <w:rPr>
          <w:rFonts w:hint="eastAsia" w:ascii="宋体" w:hAnsi="宋体" w:eastAsia="宋体" w:cs="宋体"/>
          <w:szCs w:val="24"/>
        </w:rPr>
      </w:pPr>
      <w:r>
        <w:rPr>
          <w:rFonts w:hint="eastAsia" w:ascii="宋体" w:hAnsi="宋体" w:eastAsia="宋体" w:cs="宋体"/>
          <w:szCs w:val="24"/>
        </w:rPr>
        <w:t>（本页无正文）</w:t>
      </w:r>
    </w:p>
    <w:p w14:paraId="5CE65B62">
      <w:pPr>
        <w:rPr>
          <w:rFonts w:hint="eastAsia" w:ascii="宋体" w:hAnsi="宋体" w:eastAsia="宋体" w:cs="宋体"/>
          <w:szCs w:val="24"/>
        </w:rPr>
      </w:pPr>
      <w:r>
        <w:rPr>
          <w:rFonts w:hint="eastAsia" w:ascii="宋体" w:hAnsi="宋体" w:eastAsia="宋体" w:cs="宋体"/>
          <w:szCs w:val="24"/>
        </w:rPr>
        <w:t xml:space="preserve">甲方：                                 乙方： </w:t>
      </w:r>
    </w:p>
    <w:p w14:paraId="0C4CB764">
      <w:pPr>
        <w:rPr>
          <w:rFonts w:hint="eastAsia" w:ascii="宋体" w:hAnsi="宋体" w:eastAsia="宋体" w:cs="宋体"/>
          <w:szCs w:val="24"/>
        </w:rPr>
      </w:pPr>
      <w:r>
        <w:rPr>
          <w:rFonts w:hint="eastAsia" w:ascii="宋体" w:hAnsi="宋体" w:eastAsia="宋体" w:cs="宋体"/>
          <w:szCs w:val="24"/>
        </w:rPr>
        <w:t xml:space="preserve"> （公章）                             （公章）                                                              </w:t>
      </w:r>
    </w:p>
    <w:p w14:paraId="7624234F">
      <w:pPr>
        <w:rPr>
          <w:rFonts w:hint="eastAsia" w:ascii="宋体" w:hAnsi="宋体" w:eastAsia="宋体" w:cs="宋体"/>
          <w:szCs w:val="24"/>
        </w:rPr>
      </w:pPr>
      <w:r>
        <w:rPr>
          <w:rFonts w:hint="eastAsia" w:ascii="宋体" w:hAnsi="宋体" w:eastAsia="宋体" w:cs="宋体"/>
          <w:szCs w:val="24"/>
        </w:rPr>
        <w:t xml:space="preserve">法定代表人或其委托代理人：（签字）      法定代表人或其委托代理人：（签字）                              </w:t>
      </w:r>
    </w:p>
    <w:p w14:paraId="636B7F70">
      <w:pPr>
        <w:rPr>
          <w:rFonts w:hint="eastAsia" w:ascii="宋体" w:hAnsi="宋体" w:eastAsia="宋体" w:cs="宋体"/>
          <w:szCs w:val="24"/>
        </w:rPr>
      </w:pPr>
      <w:r>
        <w:rPr>
          <w:rFonts w:hint="eastAsia" w:ascii="宋体" w:hAnsi="宋体" w:eastAsia="宋体" w:cs="宋体"/>
          <w:szCs w:val="24"/>
        </w:rPr>
        <w:t xml:space="preserve">地  址：                              地  址：                                              </w:t>
      </w:r>
    </w:p>
    <w:p w14:paraId="2E04E1B3">
      <w:pPr>
        <w:rPr>
          <w:rFonts w:hint="eastAsia" w:ascii="宋体" w:hAnsi="宋体" w:eastAsia="宋体" w:cs="宋体"/>
          <w:szCs w:val="24"/>
        </w:rPr>
      </w:pPr>
      <w:r>
        <w:rPr>
          <w:rFonts w:hint="eastAsia" w:ascii="宋体" w:hAnsi="宋体" w:eastAsia="宋体" w:cs="宋体"/>
          <w:szCs w:val="24"/>
        </w:rPr>
        <w:t>开户银行：                            开户银行：</w:t>
      </w:r>
    </w:p>
    <w:p w14:paraId="0C536D17">
      <w:pPr>
        <w:rPr>
          <w:rFonts w:hint="eastAsia" w:ascii="宋体" w:hAnsi="宋体" w:eastAsia="宋体" w:cs="宋体"/>
          <w:szCs w:val="24"/>
        </w:rPr>
      </w:pPr>
      <w:r>
        <w:rPr>
          <w:rFonts w:hint="eastAsia" w:ascii="宋体" w:hAnsi="宋体" w:eastAsia="宋体" w:cs="宋体"/>
          <w:szCs w:val="24"/>
        </w:rPr>
        <w:t>账  号：                              账  号：</w:t>
      </w:r>
    </w:p>
    <w:p w14:paraId="778CD5C2">
      <w:pPr>
        <w:rPr>
          <w:rFonts w:hint="eastAsia" w:ascii="宋体" w:hAnsi="宋体" w:eastAsia="宋体" w:cs="宋体"/>
          <w:szCs w:val="24"/>
        </w:rPr>
      </w:pPr>
      <w:r>
        <w:rPr>
          <w:rFonts w:hint="eastAsia" w:ascii="宋体" w:hAnsi="宋体" w:eastAsia="宋体" w:cs="宋体"/>
          <w:szCs w:val="24"/>
        </w:rPr>
        <w:t>纳税人识别号：                        纳税人识别号：</w:t>
      </w:r>
    </w:p>
    <w:p w14:paraId="70F15B79">
      <w:pPr>
        <w:rPr>
          <w:rFonts w:hint="eastAsia" w:ascii="宋体" w:hAnsi="宋体" w:eastAsia="宋体" w:cs="宋体"/>
          <w:szCs w:val="24"/>
        </w:rPr>
      </w:pPr>
      <w:r>
        <w:rPr>
          <w:rFonts w:hint="eastAsia" w:ascii="宋体" w:hAnsi="宋体" w:eastAsia="宋体" w:cs="宋体"/>
          <w:szCs w:val="24"/>
        </w:rPr>
        <w:t>签订日期：2026年    月    日          签订日期：2026年    月    日</w:t>
      </w:r>
    </w:p>
    <w:p w14:paraId="764F35A7"/>
    <w:p w14:paraId="57CA3BE1">
      <w:pPr>
        <w:spacing w:before="140" w:line="339" w:lineRule="auto"/>
        <w:ind w:right="1482"/>
        <w:rPr>
          <w:rFonts w:hint="eastAsia" w:ascii="宋体" w:hAnsi="宋体" w:eastAsia="宋体" w:cs="宋体"/>
          <w:spacing w:val="9"/>
          <w:sz w:val="35"/>
          <w:szCs w:val="35"/>
          <w14:textOutline w14:w="6540" w14:cap="sq" w14:cmpd="sng" w14:algn="ctr">
            <w14:solidFill>
              <w14:srgbClr w14:val="000000"/>
            </w14:solidFill>
            <w14:prstDash w14:val="solid"/>
            <w14:bevel/>
          </w14:textOutline>
        </w:rPr>
      </w:pPr>
    </w:p>
    <w:p w14:paraId="04681C74">
      <w:pPr>
        <w:pStyle w:val="2"/>
        <w:ind w:firstLine="368"/>
        <w:rPr>
          <w:rFonts w:hint="eastAsia" w:ascii="宋体" w:hAnsi="宋体" w:cs="宋体"/>
          <w:spacing w:val="9"/>
          <w:sz w:val="35"/>
          <w:szCs w:val="35"/>
          <w14:textOutline w14:w="6540" w14:cap="sq" w14:cmpd="sng" w14:algn="ctr">
            <w14:solidFill>
              <w14:srgbClr w14:val="000000"/>
            </w14:solidFill>
            <w14:prstDash w14:val="solid"/>
            <w14:bevel/>
          </w14:textOutline>
        </w:rPr>
      </w:pPr>
    </w:p>
    <w:p w14:paraId="29184F54">
      <w:pPr>
        <w:pStyle w:val="2"/>
        <w:ind w:firstLine="368"/>
        <w:rPr>
          <w:rFonts w:hint="eastAsia" w:ascii="宋体" w:hAnsi="宋体" w:cs="宋体"/>
          <w:spacing w:val="9"/>
          <w:sz w:val="35"/>
          <w:szCs w:val="35"/>
          <w14:textOutline w14:w="6540" w14:cap="sq" w14:cmpd="sng" w14:algn="ctr">
            <w14:solidFill>
              <w14:srgbClr w14:val="000000"/>
            </w14:solidFill>
            <w14:prstDash w14:val="solid"/>
            <w14:bevel/>
          </w14:textOutline>
        </w:rPr>
      </w:pPr>
    </w:p>
    <w:p w14:paraId="24A82468">
      <w:pPr>
        <w:pStyle w:val="2"/>
        <w:ind w:firstLine="368"/>
        <w:rPr>
          <w:rFonts w:hint="eastAsia" w:ascii="宋体" w:hAnsi="宋体" w:cs="宋体"/>
          <w:spacing w:val="9"/>
          <w:sz w:val="35"/>
          <w:szCs w:val="35"/>
          <w14:textOutline w14:w="6540" w14:cap="sq" w14:cmpd="sng" w14:algn="ctr">
            <w14:solidFill>
              <w14:srgbClr w14:val="000000"/>
            </w14:solidFill>
            <w14:prstDash w14:val="solid"/>
            <w14:bevel/>
          </w14:textOutline>
        </w:rPr>
      </w:pPr>
    </w:p>
    <w:p w14:paraId="618969EB">
      <w:pPr>
        <w:pStyle w:val="2"/>
        <w:ind w:firstLine="368"/>
        <w:rPr>
          <w:rFonts w:hint="eastAsia" w:ascii="宋体" w:hAnsi="宋体" w:cs="宋体"/>
          <w:spacing w:val="9"/>
          <w:sz w:val="35"/>
          <w:szCs w:val="35"/>
          <w14:textOutline w14:w="6540" w14:cap="sq" w14:cmpd="sng" w14:algn="ctr">
            <w14:solidFill>
              <w14:srgbClr w14:val="000000"/>
            </w14:solidFill>
            <w14:prstDash w14:val="solid"/>
            <w14:bevel/>
          </w14:textOutline>
        </w:rPr>
      </w:pPr>
    </w:p>
    <w:p w14:paraId="6FB148CA">
      <w:pPr>
        <w:pStyle w:val="2"/>
        <w:ind w:firstLine="368"/>
        <w:rPr>
          <w:rFonts w:hint="eastAsia" w:ascii="宋体" w:hAnsi="宋体" w:cs="宋体"/>
          <w:spacing w:val="9"/>
          <w:sz w:val="35"/>
          <w:szCs w:val="35"/>
          <w14:textOutline w14:w="6540" w14:cap="sq" w14:cmpd="sng" w14:algn="ctr">
            <w14:solidFill>
              <w14:srgbClr w14:val="000000"/>
            </w14:solidFill>
            <w14:prstDash w14:val="solid"/>
            <w14:bevel/>
          </w14:textOutline>
        </w:rPr>
      </w:pPr>
    </w:p>
    <w:p w14:paraId="7F426736">
      <w:pPr>
        <w:pStyle w:val="2"/>
        <w:ind w:firstLine="0" w:firstLineChars="0"/>
        <w:rPr>
          <w:rFonts w:hint="eastAsia" w:ascii="宋体" w:hAnsi="宋体" w:cs="宋体"/>
          <w:spacing w:val="9"/>
          <w:sz w:val="35"/>
          <w:szCs w:val="35"/>
          <w14:textOutline w14:w="6540" w14:cap="sq" w14:cmpd="sng" w14:algn="ctr">
            <w14:solidFill>
              <w14:srgbClr w14:val="000000"/>
            </w14:solidFill>
            <w14:prstDash w14:val="solid"/>
            <w14:bevel/>
          </w14:textOutline>
        </w:rPr>
      </w:pPr>
    </w:p>
    <w:p w14:paraId="317E904F">
      <w:pPr>
        <w:pStyle w:val="2"/>
        <w:ind w:firstLine="368"/>
        <w:rPr>
          <w:rFonts w:hint="eastAsia" w:ascii="宋体" w:hAnsi="宋体" w:cs="宋体"/>
          <w:spacing w:val="9"/>
          <w:sz w:val="35"/>
          <w:szCs w:val="35"/>
          <w14:textOutline w14:w="6540" w14:cap="sq" w14:cmpd="sng" w14:algn="ctr">
            <w14:solidFill>
              <w14:srgbClr w14:val="000000"/>
            </w14:solidFill>
            <w14:prstDash w14:val="solid"/>
            <w14:bevel/>
          </w14:textOutline>
        </w:rPr>
      </w:pPr>
    </w:p>
    <w:p w14:paraId="5F72ECC1">
      <w:pPr>
        <w:spacing w:before="140" w:line="339" w:lineRule="auto"/>
        <w:ind w:left="2268" w:leftChars="945" w:right="1482" w:firstLine="184" w:firstLineChars="50"/>
        <w:rPr>
          <w:rFonts w:hint="eastAsia" w:ascii="宋体" w:hAnsi="宋体" w:eastAsia="宋体" w:cs="宋体"/>
          <w:sz w:val="35"/>
          <w:szCs w:val="35"/>
        </w:rPr>
      </w:pPr>
      <w:r>
        <w:rPr>
          <w:rFonts w:ascii="宋体" w:hAnsi="宋体" w:eastAsia="宋体" w:cs="宋体"/>
          <w:spacing w:val="9"/>
          <w:sz w:val="35"/>
          <w:szCs w:val="35"/>
          <w14:textOutline w14:w="6540" w14:cap="sq" w14:cmpd="sng" w14:algn="ctr">
            <w14:solidFill>
              <w14:srgbClr w14:val="000000"/>
            </w14:solidFill>
            <w14:prstDash w14:val="solid"/>
            <w14:bevel/>
          </w14:textOutline>
        </w:rPr>
        <w:t>飞灰固化处理技术规范</w:t>
      </w:r>
      <w:r>
        <w:rPr>
          <w:rFonts w:ascii="宋体" w:hAnsi="宋体" w:eastAsia="宋体" w:cs="宋体"/>
          <w:spacing w:val="6"/>
          <w:sz w:val="35"/>
          <w:szCs w:val="35"/>
          <w14:textOutline w14:w="6540" w14:cap="sq" w14:cmpd="sng" w14:algn="ctr">
            <w14:solidFill>
              <w14:srgbClr w14:val="000000"/>
            </w14:solidFill>
            <w14:prstDash w14:val="solid"/>
            <w14:bevel/>
          </w14:textOutline>
        </w:rPr>
        <w:t>书</w:t>
      </w:r>
    </w:p>
    <w:p w14:paraId="56F1A1F2">
      <w:pPr>
        <w:spacing w:line="284" w:lineRule="auto"/>
        <w:rPr>
          <w:rFonts w:ascii="Arial"/>
          <w:sz w:val="21"/>
        </w:rPr>
      </w:pPr>
    </w:p>
    <w:p w14:paraId="0EDEA818">
      <w:pPr>
        <w:spacing w:before="65" w:line="229" w:lineRule="auto"/>
        <w:ind w:left="38"/>
        <w:rPr>
          <w:rFonts w:hint="eastAsia" w:ascii="黑体" w:hAnsi="黑体" w:eastAsia="黑体" w:cs="黑体"/>
          <w:sz w:val="20"/>
        </w:rPr>
      </w:pPr>
      <w:r>
        <w:rPr>
          <w:rFonts w:ascii="黑体" w:hAnsi="黑体" w:eastAsia="黑体" w:cs="黑体"/>
          <w:spacing w:val="14"/>
          <w:sz w:val="20"/>
        </w:rPr>
        <w:t>甲</w:t>
      </w:r>
      <w:r>
        <w:rPr>
          <w:rFonts w:ascii="黑体" w:hAnsi="黑体" w:eastAsia="黑体" w:cs="黑体"/>
          <w:spacing w:val="11"/>
          <w:sz w:val="20"/>
        </w:rPr>
        <w:t>方</w:t>
      </w:r>
      <w:r>
        <w:rPr>
          <w:rFonts w:ascii="黑体" w:hAnsi="黑体" w:eastAsia="黑体" w:cs="黑体"/>
          <w:spacing w:val="7"/>
          <w:sz w:val="20"/>
        </w:rPr>
        <w:t>：</w:t>
      </w:r>
    </w:p>
    <w:p w14:paraId="0EE358C5">
      <w:pPr>
        <w:spacing w:before="219" w:line="229" w:lineRule="auto"/>
        <w:ind w:left="38"/>
        <w:rPr>
          <w:rFonts w:hint="eastAsia" w:ascii="黑体" w:hAnsi="黑体" w:eastAsia="黑体" w:cs="黑体"/>
          <w:sz w:val="20"/>
        </w:rPr>
      </w:pPr>
      <w:r>
        <w:rPr>
          <w:rFonts w:ascii="黑体" w:hAnsi="黑体" w:eastAsia="黑体" w:cs="黑体"/>
          <w:spacing w:val="12"/>
          <w:sz w:val="20"/>
        </w:rPr>
        <w:t>乙</w:t>
      </w:r>
      <w:r>
        <w:rPr>
          <w:rFonts w:ascii="黑体" w:hAnsi="黑体" w:eastAsia="黑体" w:cs="黑体"/>
          <w:spacing w:val="8"/>
          <w:sz w:val="20"/>
        </w:rPr>
        <w:t>方：</w:t>
      </w:r>
    </w:p>
    <w:p w14:paraId="42D12BF2">
      <w:pPr>
        <w:spacing w:before="219" w:line="437" w:lineRule="auto"/>
        <w:ind w:left="39" w:right="1312" w:hanging="15"/>
        <w:rPr>
          <w:rFonts w:hint="eastAsia" w:ascii="黑体" w:hAnsi="黑体" w:eastAsia="黑体" w:cs="黑体"/>
          <w:sz w:val="20"/>
        </w:rPr>
      </w:pPr>
      <w:r>
        <w:rPr>
          <w:rFonts w:ascii="黑体" w:hAnsi="黑体" w:eastAsia="黑体" w:cs="黑体"/>
          <w:spacing w:val="18"/>
          <w:sz w:val="20"/>
        </w:rPr>
        <w:t>适</w:t>
      </w:r>
      <w:r>
        <w:rPr>
          <w:rFonts w:ascii="黑体" w:hAnsi="黑体" w:eastAsia="黑体" w:cs="黑体"/>
          <w:spacing w:val="17"/>
          <w:sz w:val="20"/>
        </w:rPr>
        <w:t>用</w:t>
      </w:r>
      <w:r>
        <w:rPr>
          <w:rFonts w:ascii="黑体" w:hAnsi="黑体" w:eastAsia="黑体" w:cs="黑体"/>
          <w:spacing w:val="9"/>
          <w:sz w:val="20"/>
        </w:rPr>
        <w:t>项目：高州市绿能环保发电项目/吴川市环保热力发电厂及配套设施项目</w:t>
      </w:r>
      <w:r>
        <w:rPr>
          <w:rFonts w:ascii="黑体" w:hAnsi="黑体" w:eastAsia="黑体" w:cs="黑体"/>
          <w:sz w:val="20"/>
        </w:rPr>
        <w:t xml:space="preserve"> </w:t>
      </w:r>
      <w:r>
        <w:rPr>
          <w:rFonts w:ascii="黑体" w:hAnsi="黑体" w:eastAsia="黑体" w:cs="黑体"/>
          <w:spacing w:val="21"/>
          <w:sz w:val="20"/>
        </w:rPr>
        <w:t>(</w:t>
      </w:r>
      <w:r>
        <w:rPr>
          <w:rFonts w:ascii="黑体" w:hAnsi="黑体" w:eastAsia="黑体" w:cs="黑体"/>
          <w:spacing w:val="15"/>
          <w:sz w:val="20"/>
        </w:rPr>
        <w:t>以下简称“本项目”)</w:t>
      </w:r>
    </w:p>
    <w:p w14:paraId="6D8FCD76">
      <w:pPr>
        <w:spacing w:before="126" w:line="342" w:lineRule="exact"/>
        <w:ind w:left="25"/>
        <w:outlineLvl w:val="0"/>
        <w:rPr>
          <w:rFonts w:hint="eastAsia" w:ascii="宋体" w:hAnsi="宋体" w:eastAsia="宋体" w:cs="宋体"/>
          <w:sz w:val="20"/>
        </w:rPr>
      </w:pPr>
      <w:r>
        <w:rPr>
          <w:rFonts w:ascii="宋体" w:hAnsi="宋体" w:eastAsia="宋体" w:cs="宋体"/>
          <w:spacing w:val="12"/>
          <w:position w:val="2"/>
          <w:sz w:val="20"/>
          <w14:textOutline w14:w="3797" w14:cap="sq" w14:cmpd="sng" w14:algn="ctr">
            <w14:solidFill>
              <w14:srgbClr w14:val="000000"/>
            </w14:solidFill>
            <w14:prstDash w14:val="solid"/>
            <w14:bevel/>
          </w14:textOutline>
        </w:rPr>
        <w:t>一</w:t>
      </w:r>
      <w:r>
        <w:rPr>
          <w:rFonts w:ascii="宋体" w:hAnsi="宋体" w:eastAsia="宋体" w:cs="宋体"/>
          <w:spacing w:val="8"/>
          <w:position w:val="2"/>
          <w:sz w:val="20"/>
          <w14:textOutline w14:w="3797" w14:cap="sq" w14:cmpd="sng" w14:algn="ctr">
            <w14:solidFill>
              <w14:srgbClr w14:val="000000"/>
            </w14:solidFill>
            <w14:prstDash w14:val="solid"/>
            <w14:bevel/>
          </w14:textOutline>
        </w:rPr>
        <w:t>、工作范围及内容：</w:t>
      </w:r>
    </w:p>
    <w:p w14:paraId="40CA0CF2">
      <w:pPr>
        <w:spacing w:before="119" w:line="424" w:lineRule="auto"/>
        <w:ind w:left="22" w:right="1" w:firstLine="422"/>
        <w:rPr>
          <w:rFonts w:hint="eastAsia" w:ascii="宋体" w:hAnsi="宋体" w:eastAsia="宋体" w:cs="宋体"/>
          <w:sz w:val="20"/>
        </w:rPr>
      </w:pPr>
      <w:r>
        <w:rPr>
          <w:rFonts w:ascii="宋体" w:hAnsi="宋体" w:eastAsia="宋体" w:cs="宋体"/>
          <w:spacing w:val="7"/>
          <w:sz w:val="20"/>
        </w:rPr>
        <w:t>从本项目飞灰仓开始 (含飞灰仓堵塞疏通) 至飞灰螯合物运送至养护间养护合格，再</w:t>
      </w:r>
      <w:r>
        <w:rPr>
          <w:rFonts w:ascii="宋体" w:hAnsi="宋体" w:eastAsia="宋体" w:cs="宋体"/>
          <w:spacing w:val="2"/>
          <w:sz w:val="20"/>
        </w:rPr>
        <w:t>转</w:t>
      </w:r>
      <w:r>
        <w:rPr>
          <w:rFonts w:ascii="宋体" w:hAnsi="宋体" w:eastAsia="宋体" w:cs="宋体"/>
          <w:sz w:val="20"/>
        </w:rPr>
        <w:t xml:space="preserve"> </w:t>
      </w:r>
      <w:r>
        <w:rPr>
          <w:rFonts w:ascii="宋体" w:hAnsi="宋体" w:eastAsia="宋体" w:cs="宋体"/>
          <w:spacing w:val="16"/>
          <w:sz w:val="20"/>
        </w:rPr>
        <w:t>运至</w:t>
      </w:r>
      <w:r>
        <w:rPr>
          <w:rFonts w:ascii="宋体" w:hAnsi="宋体" w:eastAsia="宋体" w:cs="宋体"/>
          <w:spacing w:val="9"/>
          <w:sz w:val="20"/>
        </w:rPr>
        <w:t>飞</w:t>
      </w:r>
      <w:r>
        <w:rPr>
          <w:rFonts w:ascii="宋体" w:hAnsi="宋体" w:eastAsia="宋体" w:cs="宋体"/>
          <w:spacing w:val="8"/>
          <w:sz w:val="20"/>
        </w:rPr>
        <w:t>灰暂存间及飞灰螯合物从暂存间外运飞灰填埋场前的所有服务工作，包括但不限于：</w:t>
      </w:r>
    </w:p>
    <w:p w14:paraId="225F7B1B">
      <w:pPr>
        <w:spacing w:before="1" w:line="226" w:lineRule="auto"/>
        <w:ind w:left="38"/>
        <w:rPr>
          <w:rFonts w:hint="eastAsia" w:ascii="宋体" w:hAnsi="宋体" w:eastAsia="宋体" w:cs="宋体"/>
          <w:sz w:val="20"/>
        </w:rPr>
      </w:pPr>
      <w:r>
        <w:rPr>
          <w:rFonts w:eastAsia="Times New Roman"/>
          <w:spacing w:val="12"/>
          <w:sz w:val="20"/>
        </w:rPr>
        <w:t>1.</w:t>
      </w:r>
      <w:r>
        <w:rPr>
          <w:rFonts w:ascii="宋体" w:hAnsi="宋体" w:eastAsia="宋体" w:cs="宋体"/>
          <w:spacing w:val="6"/>
          <w:sz w:val="20"/>
        </w:rPr>
        <w:t>提供飞灰螯合固化过程中的所有劳务工作。</w:t>
      </w:r>
    </w:p>
    <w:p w14:paraId="44027075">
      <w:pPr>
        <w:spacing w:before="215" w:line="325" w:lineRule="auto"/>
        <w:ind w:left="446" w:right="40" w:hanging="428"/>
        <w:rPr>
          <w:rFonts w:hint="eastAsia" w:ascii="宋体" w:hAnsi="宋体" w:eastAsia="宋体" w:cs="宋体"/>
          <w:sz w:val="20"/>
        </w:rPr>
      </w:pPr>
      <w:r>
        <w:rPr>
          <w:rFonts w:eastAsia="Times New Roman"/>
          <w:spacing w:val="12"/>
          <w:sz w:val="20"/>
        </w:rPr>
        <w:t>2.</w:t>
      </w:r>
      <w:r>
        <w:rPr>
          <w:rFonts w:ascii="宋体" w:hAnsi="宋体" w:eastAsia="宋体" w:cs="宋体"/>
          <w:spacing w:val="6"/>
          <w:sz w:val="20"/>
        </w:rPr>
        <w:t>提供螯合剂、吨袋、标签及场内转运所需的各类运输机械 (带证司机、机械燃料、维保</w:t>
      </w:r>
      <w:r>
        <w:rPr>
          <w:rFonts w:ascii="宋体" w:hAnsi="宋体" w:eastAsia="宋体" w:cs="宋体"/>
          <w:sz w:val="20"/>
        </w:rPr>
        <w:t xml:space="preserve"> </w:t>
      </w:r>
      <w:r>
        <w:rPr>
          <w:rFonts w:ascii="宋体" w:hAnsi="宋体" w:eastAsia="宋体" w:cs="宋体"/>
          <w:spacing w:val="14"/>
          <w:sz w:val="20"/>
        </w:rPr>
        <w:t>材</w:t>
      </w:r>
      <w:r>
        <w:rPr>
          <w:rFonts w:ascii="宋体" w:hAnsi="宋体" w:eastAsia="宋体" w:cs="宋体"/>
          <w:spacing w:val="9"/>
          <w:sz w:val="20"/>
        </w:rPr>
        <w:t>料</w:t>
      </w:r>
      <w:r>
        <w:rPr>
          <w:rFonts w:ascii="宋体" w:hAnsi="宋体" w:eastAsia="宋体" w:cs="宋体"/>
          <w:spacing w:val="7"/>
          <w:sz w:val="20"/>
        </w:rPr>
        <w:t>等均由乙方负责) 。</w:t>
      </w:r>
    </w:p>
    <w:p w14:paraId="2CA11471">
      <w:pPr>
        <w:spacing w:before="215" w:line="227" w:lineRule="auto"/>
        <w:ind w:left="22"/>
        <w:rPr>
          <w:rFonts w:hint="eastAsia" w:ascii="宋体" w:hAnsi="宋体" w:eastAsia="宋体" w:cs="宋体"/>
          <w:sz w:val="20"/>
        </w:rPr>
      </w:pPr>
      <w:r>
        <w:rPr>
          <w:rFonts w:eastAsia="Times New Roman"/>
          <w:spacing w:val="16"/>
          <w:sz w:val="20"/>
        </w:rPr>
        <w:t>3.</w:t>
      </w:r>
      <w:r>
        <w:rPr>
          <w:rFonts w:ascii="宋体" w:hAnsi="宋体" w:eastAsia="宋体" w:cs="宋体"/>
          <w:spacing w:val="8"/>
          <w:sz w:val="20"/>
        </w:rPr>
        <w:t>提供飞灰固化处理</w:t>
      </w:r>
      <w:r>
        <w:rPr>
          <w:rFonts w:hint="eastAsia" w:ascii="宋体" w:hAnsi="宋体" w:eastAsia="宋体" w:cs="宋体"/>
          <w:spacing w:val="8"/>
          <w:sz w:val="20"/>
        </w:rPr>
        <w:t>过程中</w:t>
      </w:r>
      <w:r>
        <w:rPr>
          <w:rFonts w:ascii="宋体" w:hAnsi="宋体" w:eastAsia="宋体" w:cs="宋体"/>
          <w:spacing w:val="8"/>
          <w:sz w:val="20"/>
        </w:rPr>
        <w:t>所需的生产运行工具、维护工具、保洁工具、劳保用品等。</w:t>
      </w:r>
    </w:p>
    <w:p w14:paraId="3A9A0805">
      <w:pPr>
        <w:spacing w:before="216" w:line="325" w:lineRule="auto"/>
        <w:ind w:left="448" w:hanging="431"/>
        <w:rPr>
          <w:rFonts w:hint="eastAsia" w:ascii="宋体" w:hAnsi="宋体" w:eastAsia="宋体" w:cs="宋体"/>
          <w:sz w:val="20"/>
        </w:rPr>
      </w:pPr>
      <w:r>
        <w:rPr>
          <w:rFonts w:eastAsia="Times New Roman"/>
          <w:spacing w:val="14"/>
          <w:sz w:val="20"/>
        </w:rPr>
        <w:t>4.</w:t>
      </w:r>
      <w:r>
        <w:rPr>
          <w:rFonts w:ascii="宋体" w:hAnsi="宋体" w:eastAsia="宋体" w:cs="宋体"/>
          <w:spacing w:val="7"/>
          <w:sz w:val="20"/>
        </w:rPr>
        <w:t>飞灰固化处理服务人员的住宿、差旅交通等由乙方自行负责；乙方服务人员当班期间，</w:t>
      </w:r>
      <w:r>
        <w:rPr>
          <w:rFonts w:ascii="宋体" w:hAnsi="宋体" w:eastAsia="宋体" w:cs="宋体"/>
          <w:sz w:val="20"/>
        </w:rPr>
        <w:t xml:space="preserve"> </w:t>
      </w:r>
      <w:r>
        <w:rPr>
          <w:rFonts w:ascii="宋体" w:hAnsi="宋体" w:eastAsia="宋体" w:cs="宋体"/>
          <w:spacing w:val="10"/>
          <w:sz w:val="20"/>
        </w:rPr>
        <w:t>可</w:t>
      </w:r>
      <w:r>
        <w:rPr>
          <w:rFonts w:ascii="宋体" w:hAnsi="宋体" w:eastAsia="宋体" w:cs="宋体"/>
          <w:spacing w:val="9"/>
          <w:sz w:val="20"/>
        </w:rPr>
        <w:t>在甲方食堂就餐，餐费按食堂管理制度执行。</w:t>
      </w:r>
    </w:p>
    <w:p w14:paraId="423280E8">
      <w:pPr>
        <w:spacing w:before="215" w:line="227" w:lineRule="auto"/>
        <w:rPr>
          <w:rFonts w:hint="eastAsia" w:ascii="宋体" w:hAnsi="宋体" w:eastAsia="宋体" w:cs="宋体"/>
          <w:sz w:val="20"/>
        </w:rPr>
      </w:pPr>
      <w:r>
        <w:rPr>
          <w:rFonts w:eastAsia="Times New Roman"/>
          <w:spacing w:val="12"/>
          <w:sz w:val="20"/>
        </w:rPr>
        <w:t>5.</w:t>
      </w:r>
      <w:r>
        <w:rPr>
          <w:rFonts w:ascii="宋体" w:hAnsi="宋体" w:eastAsia="宋体" w:cs="宋体"/>
          <w:spacing w:val="6"/>
          <w:sz w:val="20"/>
        </w:rPr>
        <w:t>飞灰固化处理用电由甲方提供，用水采用渗沥液浓水回用或循环水的排污。</w:t>
      </w:r>
    </w:p>
    <w:p w14:paraId="26881D00">
      <w:pPr>
        <w:spacing w:before="212" w:line="227" w:lineRule="auto"/>
        <w:ind w:left="23"/>
        <w:rPr>
          <w:rFonts w:hint="eastAsia" w:ascii="宋体" w:hAnsi="宋体" w:eastAsia="宋体" w:cs="宋体"/>
          <w:sz w:val="20"/>
        </w:rPr>
      </w:pPr>
      <w:r>
        <w:rPr>
          <w:rFonts w:eastAsia="Times New Roman"/>
          <w:spacing w:val="12"/>
          <w:sz w:val="20"/>
        </w:rPr>
        <w:t>6.</w:t>
      </w:r>
      <w:r>
        <w:rPr>
          <w:rFonts w:ascii="宋体" w:hAnsi="宋体" w:eastAsia="宋体" w:cs="宋体"/>
          <w:spacing w:val="6"/>
          <w:sz w:val="20"/>
        </w:rPr>
        <w:t>负责飞灰固化处理系统所有设备的操作、</w:t>
      </w:r>
      <w:r>
        <w:rPr>
          <w:rFonts w:hint="eastAsia" w:ascii="宋体" w:hAnsi="宋体" w:eastAsia="宋体" w:cs="宋体"/>
          <w:spacing w:val="6"/>
          <w:sz w:val="20"/>
        </w:rPr>
        <w:t>维护</w:t>
      </w:r>
      <w:r>
        <w:rPr>
          <w:rFonts w:ascii="宋体" w:hAnsi="宋体" w:eastAsia="宋体" w:cs="宋体"/>
          <w:spacing w:val="6"/>
          <w:sz w:val="20"/>
        </w:rPr>
        <w:t>保养(甲方提供油料)、点巡检、简单维</w:t>
      </w:r>
    </w:p>
    <w:p w14:paraId="4ECD3EDF">
      <w:pPr>
        <w:spacing w:before="215" w:line="228" w:lineRule="auto"/>
        <w:ind w:left="447"/>
        <w:rPr>
          <w:rFonts w:hint="eastAsia" w:ascii="宋体" w:hAnsi="宋体" w:eastAsia="宋体" w:cs="宋体"/>
          <w:sz w:val="20"/>
        </w:rPr>
      </w:pPr>
      <w:r>
        <w:rPr>
          <w:rFonts w:ascii="宋体" w:hAnsi="宋体" w:eastAsia="宋体" w:cs="宋体"/>
          <w:spacing w:val="8"/>
          <w:sz w:val="20"/>
        </w:rPr>
        <w:t>修、</w:t>
      </w:r>
      <w:r>
        <w:rPr>
          <w:rFonts w:hint="eastAsia" w:ascii="宋体" w:hAnsi="宋体" w:eastAsia="宋体" w:cs="宋体"/>
          <w:spacing w:val="8"/>
          <w:sz w:val="20"/>
        </w:rPr>
        <w:t>设备清扫、</w:t>
      </w:r>
      <w:r>
        <w:rPr>
          <w:rFonts w:ascii="宋体" w:hAnsi="宋体" w:eastAsia="宋体" w:cs="宋体"/>
          <w:spacing w:val="8"/>
          <w:sz w:val="20"/>
        </w:rPr>
        <w:t>叉车保养等工作；</w:t>
      </w:r>
    </w:p>
    <w:p w14:paraId="32F1E1DB">
      <w:pPr>
        <w:spacing w:before="214" w:line="326" w:lineRule="auto"/>
        <w:ind w:left="450" w:right="40" w:hanging="429"/>
        <w:rPr>
          <w:rFonts w:hint="eastAsia" w:ascii="宋体" w:hAnsi="宋体" w:eastAsia="宋体" w:cs="宋体"/>
          <w:sz w:val="20"/>
        </w:rPr>
      </w:pPr>
      <w:r>
        <w:rPr>
          <w:rFonts w:eastAsia="Times New Roman"/>
          <w:spacing w:val="12"/>
          <w:sz w:val="20"/>
        </w:rPr>
        <w:t>7.</w:t>
      </w:r>
      <w:r>
        <w:rPr>
          <w:rFonts w:ascii="宋体" w:hAnsi="宋体" w:eastAsia="宋体" w:cs="宋体"/>
          <w:spacing w:val="6"/>
          <w:sz w:val="20"/>
        </w:rPr>
        <w:t>负责飞灰固化车间、养护间、飞灰暂存间、灰库、水泥库及楼梯栏杆、钢构、飞灰固化</w:t>
      </w:r>
      <w:r>
        <w:rPr>
          <w:rFonts w:ascii="宋体" w:hAnsi="宋体" w:eastAsia="宋体" w:cs="宋体"/>
          <w:sz w:val="20"/>
        </w:rPr>
        <w:t xml:space="preserve"> </w:t>
      </w:r>
      <w:r>
        <w:rPr>
          <w:rFonts w:ascii="宋体" w:hAnsi="宋体" w:eastAsia="宋体" w:cs="宋体"/>
          <w:spacing w:val="16"/>
          <w:sz w:val="20"/>
        </w:rPr>
        <w:t>系</w:t>
      </w:r>
      <w:r>
        <w:rPr>
          <w:rFonts w:ascii="宋体" w:hAnsi="宋体" w:eastAsia="宋体" w:cs="宋体"/>
          <w:spacing w:val="9"/>
          <w:sz w:val="20"/>
        </w:rPr>
        <w:t>统</w:t>
      </w:r>
      <w:r>
        <w:rPr>
          <w:rFonts w:ascii="宋体" w:hAnsi="宋体" w:eastAsia="宋体" w:cs="宋体"/>
          <w:spacing w:val="8"/>
          <w:sz w:val="20"/>
        </w:rPr>
        <w:t>所有设备及周边场地的保洁工作。</w:t>
      </w:r>
    </w:p>
    <w:p w14:paraId="0472572B">
      <w:pPr>
        <w:spacing w:before="213" w:line="228" w:lineRule="auto"/>
        <w:ind w:left="26"/>
        <w:rPr>
          <w:rFonts w:hint="eastAsia" w:ascii="宋体" w:hAnsi="宋体" w:eastAsia="宋体" w:cs="宋体"/>
          <w:sz w:val="20"/>
        </w:rPr>
      </w:pPr>
      <w:r>
        <w:rPr>
          <w:rFonts w:eastAsia="Times New Roman"/>
          <w:spacing w:val="12"/>
          <w:sz w:val="20"/>
        </w:rPr>
        <w:t>8.</w:t>
      </w:r>
      <w:r>
        <w:rPr>
          <w:rFonts w:ascii="宋体" w:hAnsi="宋体" w:eastAsia="宋体" w:cs="宋体"/>
          <w:spacing w:val="6"/>
          <w:sz w:val="20"/>
        </w:rPr>
        <w:t>负责飞灰固化车间至养护间，养护间至飞灰暂存间及螯合物外运填埋场前的所有厂内转</w:t>
      </w:r>
    </w:p>
    <w:p w14:paraId="3186C079">
      <w:pPr>
        <w:spacing w:before="214" w:line="237" w:lineRule="auto"/>
        <w:ind w:left="447"/>
        <w:rPr>
          <w:rFonts w:hint="eastAsia" w:ascii="宋体" w:hAnsi="宋体" w:eastAsia="宋体" w:cs="宋体"/>
          <w:sz w:val="20"/>
        </w:rPr>
      </w:pPr>
      <w:r>
        <w:rPr>
          <w:rFonts w:ascii="宋体" w:hAnsi="宋体" w:eastAsia="宋体" w:cs="宋体"/>
          <w:spacing w:val="9"/>
          <w:sz w:val="20"/>
        </w:rPr>
        <w:t>运、包装、码放、装车、卸车等</w:t>
      </w:r>
      <w:r>
        <w:rPr>
          <w:rFonts w:ascii="宋体" w:hAnsi="宋体" w:eastAsia="宋体" w:cs="宋体"/>
          <w:spacing w:val="6"/>
          <w:sz w:val="20"/>
        </w:rPr>
        <w:t>。</w:t>
      </w:r>
    </w:p>
    <w:p w14:paraId="1992B01C">
      <w:pPr>
        <w:spacing w:before="201" w:line="228" w:lineRule="auto"/>
        <w:ind w:left="22"/>
        <w:rPr>
          <w:rFonts w:hint="eastAsia" w:ascii="宋体" w:hAnsi="宋体" w:eastAsia="宋体" w:cs="宋体"/>
          <w:sz w:val="20"/>
        </w:rPr>
      </w:pPr>
      <w:r>
        <w:rPr>
          <w:rFonts w:ascii="Calibri" w:hAnsi="Calibri" w:eastAsia="Calibri" w:cs="Calibri"/>
          <w:spacing w:val="14"/>
          <w:sz w:val="20"/>
        </w:rPr>
        <w:t>9.</w:t>
      </w:r>
      <w:r>
        <w:rPr>
          <w:rFonts w:ascii="宋体" w:hAnsi="宋体" w:eastAsia="宋体" w:cs="宋体"/>
          <w:spacing w:val="7"/>
          <w:sz w:val="20"/>
        </w:rPr>
        <w:t>负责设备检修或故障抢修期间飞灰的清扫、装袋、螯合固化和转移搬运等。</w:t>
      </w:r>
    </w:p>
    <w:p w14:paraId="2B7AE6F5">
      <w:pPr>
        <w:spacing w:before="214" w:line="227" w:lineRule="auto"/>
        <w:ind w:left="38"/>
        <w:rPr>
          <w:rFonts w:hint="eastAsia" w:ascii="宋体" w:hAnsi="宋体" w:eastAsia="宋体" w:cs="宋体"/>
          <w:sz w:val="20"/>
        </w:rPr>
      </w:pPr>
      <w:r>
        <w:rPr>
          <w:rFonts w:eastAsia="Times New Roman"/>
          <w:spacing w:val="12"/>
          <w:sz w:val="20"/>
        </w:rPr>
        <w:t>1</w:t>
      </w:r>
      <w:r>
        <w:rPr>
          <w:rFonts w:eastAsia="Times New Roman"/>
          <w:spacing w:val="6"/>
          <w:sz w:val="20"/>
        </w:rPr>
        <w:t>0.</w:t>
      </w:r>
      <w:r>
        <w:rPr>
          <w:rFonts w:ascii="宋体" w:hAnsi="宋体" w:eastAsia="宋体" w:cs="宋体"/>
          <w:spacing w:val="6"/>
          <w:sz w:val="20"/>
        </w:rPr>
        <w:t>负责飞灰固化处理系统有关物料 (水泥、螯合剂、吨袋等) 的到货装卸车和吨袋挂标签</w:t>
      </w:r>
    </w:p>
    <w:p w14:paraId="24FB151B">
      <w:pPr>
        <w:spacing w:before="215" w:line="228" w:lineRule="auto"/>
        <w:ind w:left="448"/>
        <w:rPr>
          <w:rFonts w:hint="eastAsia" w:ascii="宋体" w:hAnsi="宋体" w:eastAsia="宋体" w:cs="宋体"/>
          <w:sz w:val="20"/>
        </w:rPr>
      </w:pPr>
      <w:r>
        <w:rPr>
          <w:rFonts w:ascii="宋体" w:hAnsi="宋体" w:eastAsia="宋体" w:cs="宋体"/>
          <w:spacing w:val="7"/>
          <w:sz w:val="20"/>
        </w:rPr>
        <w:t>等</w:t>
      </w:r>
      <w:r>
        <w:rPr>
          <w:rFonts w:ascii="宋体" w:hAnsi="宋体" w:eastAsia="宋体" w:cs="宋体"/>
          <w:spacing w:val="4"/>
          <w:sz w:val="20"/>
        </w:rPr>
        <w:t>工作。</w:t>
      </w:r>
    </w:p>
    <w:p w14:paraId="4F6566F4">
      <w:pPr>
        <w:spacing w:before="211" w:line="228" w:lineRule="auto"/>
        <w:ind w:left="38"/>
        <w:rPr>
          <w:rFonts w:hint="eastAsia" w:ascii="宋体" w:hAnsi="宋体" w:eastAsia="宋体" w:cs="宋体"/>
          <w:sz w:val="20"/>
        </w:rPr>
      </w:pPr>
      <w:r>
        <w:rPr>
          <w:rFonts w:eastAsia="Times New Roman"/>
          <w:spacing w:val="12"/>
          <w:sz w:val="20"/>
        </w:rPr>
        <w:t>11</w:t>
      </w:r>
      <w:r>
        <w:rPr>
          <w:rFonts w:eastAsia="Times New Roman"/>
          <w:spacing w:val="9"/>
          <w:sz w:val="20"/>
        </w:rPr>
        <w:t>.</w:t>
      </w:r>
      <w:r>
        <w:rPr>
          <w:rFonts w:ascii="宋体" w:hAnsi="宋体" w:eastAsia="宋体" w:cs="宋体"/>
          <w:spacing w:val="6"/>
          <w:sz w:val="20"/>
        </w:rPr>
        <w:t>乙方每日必须将灰库放空后方可离开工作岗位。若出现灰仓板结堵塞、卸灰阀等堵塞情</w:t>
      </w:r>
    </w:p>
    <w:p w14:paraId="002B76B0">
      <w:pPr>
        <w:spacing w:before="215" w:line="228" w:lineRule="auto"/>
        <w:ind w:left="448"/>
        <w:rPr>
          <w:rFonts w:hint="eastAsia" w:ascii="宋体" w:hAnsi="宋体" w:eastAsia="宋体" w:cs="宋体"/>
          <w:sz w:val="20"/>
        </w:rPr>
      </w:pPr>
      <w:r>
        <w:rPr>
          <w:rFonts w:ascii="宋体" w:hAnsi="宋体" w:eastAsia="宋体" w:cs="宋体"/>
          <w:spacing w:val="10"/>
          <w:sz w:val="20"/>
        </w:rPr>
        <w:t>况</w:t>
      </w:r>
      <w:r>
        <w:rPr>
          <w:rFonts w:ascii="宋体" w:hAnsi="宋体" w:eastAsia="宋体" w:cs="宋体"/>
          <w:spacing w:val="7"/>
          <w:sz w:val="20"/>
        </w:rPr>
        <w:t>，乙方必须安排人员疏通灰仓放空。若因堵塞处理不及时造成飞灰仓爆库，降负荷减</w:t>
      </w:r>
    </w:p>
    <w:p w14:paraId="1E74DB76">
      <w:pPr>
        <w:sectPr>
          <w:pgSz w:w="11906" w:h="16839"/>
          <w:pgMar w:top="1431" w:right="1759" w:bottom="0" w:left="1785" w:header="0" w:footer="0" w:gutter="0"/>
          <w:cols w:space="720" w:num="1"/>
        </w:sectPr>
      </w:pPr>
    </w:p>
    <w:p w14:paraId="04140714">
      <w:pPr>
        <w:spacing w:before="197" w:line="228" w:lineRule="auto"/>
        <w:rPr>
          <w:rFonts w:hint="eastAsia" w:ascii="宋体" w:hAnsi="宋体" w:eastAsia="宋体" w:cs="宋体"/>
          <w:sz w:val="20"/>
        </w:rPr>
      </w:pPr>
      <w:r>
        <w:rPr>
          <w:rFonts w:ascii="宋体" w:hAnsi="宋体" w:eastAsia="宋体" w:cs="宋体"/>
          <w:spacing w:val="6"/>
          <w:sz w:val="20"/>
        </w:rPr>
        <w:t>产、停炉停产、环境污染等， 由此造成甲方的一切损失由乙方承担</w:t>
      </w:r>
      <w:r>
        <w:rPr>
          <w:rFonts w:ascii="宋体" w:hAnsi="宋体" w:eastAsia="宋体" w:cs="宋体"/>
          <w:sz w:val="20"/>
        </w:rPr>
        <w:t>。</w:t>
      </w:r>
    </w:p>
    <w:p w14:paraId="0F603787">
      <w:pPr>
        <w:spacing w:before="214" w:line="325" w:lineRule="auto"/>
        <w:ind w:left="549" w:right="117" w:hanging="407"/>
        <w:rPr>
          <w:rFonts w:hint="eastAsia" w:ascii="宋体" w:hAnsi="宋体" w:eastAsia="宋体" w:cs="宋体"/>
          <w:sz w:val="20"/>
        </w:rPr>
      </w:pPr>
      <w:r>
        <w:rPr>
          <w:rFonts w:eastAsia="Times New Roman"/>
          <w:spacing w:val="12"/>
          <w:sz w:val="20"/>
        </w:rPr>
        <w:t>12.</w:t>
      </w:r>
      <w:r>
        <w:rPr>
          <w:rFonts w:ascii="宋体" w:hAnsi="宋体" w:eastAsia="宋体" w:cs="宋体"/>
          <w:spacing w:val="6"/>
          <w:sz w:val="20"/>
        </w:rPr>
        <w:t>负责飞灰搅拌机的清理、现场卫生的清理，地面清洁无灰尘。若因未清理干净造成搅拌</w:t>
      </w:r>
      <w:r>
        <w:rPr>
          <w:rFonts w:ascii="宋体" w:hAnsi="宋体" w:eastAsia="宋体" w:cs="宋体"/>
          <w:sz w:val="20"/>
        </w:rPr>
        <w:t xml:space="preserve"> </w:t>
      </w:r>
      <w:r>
        <w:rPr>
          <w:rFonts w:ascii="宋体" w:hAnsi="宋体" w:eastAsia="宋体" w:cs="宋体"/>
          <w:spacing w:val="10"/>
          <w:sz w:val="20"/>
        </w:rPr>
        <w:t>机无法</w:t>
      </w:r>
      <w:r>
        <w:rPr>
          <w:rFonts w:ascii="宋体" w:hAnsi="宋体" w:eastAsia="宋体" w:cs="宋体"/>
          <w:spacing w:val="6"/>
          <w:sz w:val="20"/>
        </w:rPr>
        <w:t>运</w:t>
      </w:r>
      <w:r>
        <w:rPr>
          <w:rFonts w:ascii="宋体" w:hAnsi="宋体" w:eastAsia="宋体" w:cs="宋体"/>
          <w:spacing w:val="5"/>
          <w:sz w:val="20"/>
        </w:rPr>
        <w:t>转或设备损坏， 由此造成甲方的一切损失由乙方承担。</w:t>
      </w:r>
    </w:p>
    <w:p w14:paraId="793EDE6D">
      <w:pPr>
        <w:spacing w:before="214" w:line="228" w:lineRule="auto"/>
        <w:ind w:left="142"/>
        <w:rPr>
          <w:rFonts w:hint="eastAsia" w:ascii="宋体" w:hAnsi="宋体" w:eastAsia="宋体" w:cs="宋体"/>
          <w:sz w:val="20"/>
        </w:rPr>
      </w:pPr>
      <w:r>
        <w:rPr>
          <w:rFonts w:eastAsia="Times New Roman"/>
          <w:spacing w:val="7"/>
          <w:sz w:val="20"/>
        </w:rPr>
        <w:t>13.</w:t>
      </w:r>
      <w:r>
        <w:rPr>
          <w:rFonts w:ascii="宋体" w:hAnsi="宋体" w:eastAsia="宋体" w:cs="宋体"/>
          <w:spacing w:val="7"/>
          <w:sz w:val="20"/>
        </w:rPr>
        <w:t>每日安排人工测量灰仓实际料位，汇报甲方值长。若灰库堵塞或设备损坏无法放灰，</w:t>
      </w:r>
      <w:r>
        <w:rPr>
          <w:rFonts w:ascii="宋体" w:hAnsi="宋体" w:eastAsia="宋体" w:cs="宋体"/>
          <w:sz w:val="20"/>
        </w:rPr>
        <w:t>乙</w:t>
      </w:r>
    </w:p>
    <w:p w14:paraId="7BE7F820">
      <w:pPr>
        <w:spacing w:before="213" w:line="228" w:lineRule="auto"/>
        <w:ind w:left="551"/>
        <w:rPr>
          <w:rFonts w:hint="eastAsia" w:ascii="宋体" w:hAnsi="宋体" w:eastAsia="宋体" w:cs="宋体"/>
          <w:sz w:val="20"/>
        </w:rPr>
      </w:pPr>
      <w:r>
        <w:rPr>
          <w:rFonts w:ascii="宋体" w:hAnsi="宋体" w:eastAsia="宋体" w:cs="宋体"/>
          <w:spacing w:val="9"/>
          <w:sz w:val="20"/>
        </w:rPr>
        <w:t>方应根据值长要求增加测量灰仓实际料位次数</w:t>
      </w:r>
      <w:r>
        <w:rPr>
          <w:rFonts w:ascii="宋体" w:hAnsi="宋体" w:eastAsia="宋体" w:cs="宋体"/>
          <w:spacing w:val="8"/>
          <w:sz w:val="20"/>
        </w:rPr>
        <w:t>。</w:t>
      </w:r>
    </w:p>
    <w:p w14:paraId="0D26DFA2">
      <w:pPr>
        <w:spacing w:before="211" w:line="228" w:lineRule="auto"/>
        <w:ind w:left="142"/>
        <w:rPr>
          <w:rFonts w:hint="eastAsia" w:ascii="宋体" w:hAnsi="宋体" w:eastAsia="宋体" w:cs="宋体"/>
          <w:sz w:val="20"/>
        </w:rPr>
      </w:pPr>
      <w:r>
        <w:rPr>
          <w:rFonts w:eastAsia="Times New Roman"/>
          <w:spacing w:val="10"/>
          <w:sz w:val="20"/>
        </w:rPr>
        <w:t>1</w:t>
      </w:r>
      <w:r>
        <w:rPr>
          <w:rFonts w:eastAsia="Times New Roman"/>
          <w:spacing w:val="6"/>
          <w:sz w:val="20"/>
        </w:rPr>
        <w:t>4.</w:t>
      </w:r>
      <w:r>
        <w:rPr>
          <w:rFonts w:ascii="宋体" w:hAnsi="宋体" w:eastAsia="宋体" w:cs="宋体"/>
          <w:spacing w:val="6"/>
          <w:sz w:val="20"/>
        </w:rPr>
        <w:t>配合甲方进行飞灰处理的自检。</w:t>
      </w:r>
    </w:p>
    <w:p w14:paraId="275E1502">
      <w:pPr>
        <w:spacing w:before="213" w:line="228" w:lineRule="auto"/>
        <w:ind w:left="142"/>
        <w:rPr>
          <w:rFonts w:hint="eastAsia" w:ascii="宋体" w:hAnsi="宋体" w:eastAsia="宋体" w:cs="宋体"/>
          <w:sz w:val="20"/>
        </w:rPr>
      </w:pPr>
      <w:r>
        <w:rPr>
          <w:rFonts w:eastAsia="Times New Roman"/>
          <w:spacing w:val="14"/>
          <w:sz w:val="20"/>
        </w:rPr>
        <w:t>1</w:t>
      </w:r>
      <w:r>
        <w:rPr>
          <w:rFonts w:eastAsia="Times New Roman"/>
          <w:spacing w:val="8"/>
          <w:sz w:val="20"/>
        </w:rPr>
        <w:t>5</w:t>
      </w:r>
      <w:r>
        <w:rPr>
          <w:rFonts w:eastAsia="Times New Roman"/>
          <w:spacing w:val="7"/>
          <w:sz w:val="20"/>
        </w:rPr>
        <w:t>.</w:t>
      </w:r>
      <w:r>
        <w:rPr>
          <w:rFonts w:ascii="宋体" w:hAnsi="宋体" w:eastAsia="宋体" w:cs="宋体"/>
          <w:spacing w:val="7"/>
          <w:sz w:val="20"/>
        </w:rPr>
        <w:t>负责飞灰稳定化过程取样，制作同条件养护试块。</w:t>
      </w:r>
    </w:p>
    <w:p w14:paraId="5F58A852">
      <w:pPr>
        <w:spacing w:before="214" w:line="228" w:lineRule="auto"/>
        <w:ind w:left="142"/>
        <w:rPr>
          <w:rFonts w:hint="eastAsia" w:ascii="宋体" w:hAnsi="宋体" w:eastAsia="宋体" w:cs="宋体"/>
          <w:sz w:val="20"/>
        </w:rPr>
      </w:pPr>
      <w:r>
        <w:rPr>
          <w:rFonts w:eastAsia="Times New Roman"/>
          <w:spacing w:val="5"/>
          <w:sz w:val="20"/>
        </w:rPr>
        <w:t>16.</w:t>
      </w:r>
      <w:r>
        <w:rPr>
          <w:rFonts w:ascii="宋体" w:hAnsi="宋体" w:eastAsia="宋体" w:cs="宋体"/>
          <w:spacing w:val="5"/>
          <w:sz w:val="20"/>
        </w:rPr>
        <w:t xml:space="preserve">每月 </w:t>
      </w:r>
      <w:r>
        <w:rPr>
          <w:rFonts w:eastAsia="Times New Roman"/>
          <w:spacing w:val="5"/>
          <w:sz w:val="20"/>
        </w:rPr>
        <w:t xml:space="preserve">5 </w:t>
      </w:r>
      <w:r>
        <w:rPr>
          <w:rFonts w:ascii="宋体" w:hAnsi="宋体" w:eastAsia="宋体" w:cs="宋体"/>
          <w:spacing w:val="5"/>
          <w:sz w:val="20"/>
        </w:rPr>
        <w:t>日前向甲方提交上月飞灰固化处理台账</w:t>
      </w:r>
      <w:r>
        <w:rPr>
          <w:rFonts w:ascii="宋体" w:hAnsi="宋体" w:eastAsia="宋体" w:cs="宋体"/>
          <w:spacing w:val="3"/>
          <w:sz w:val="20"/>
        </w:rPr>
        <w:t>。</w:t>
      </w:r>
    </w:p>
    <w:p w14:paraId="673E2D46">
      <w:pPr>
        <w:spacing w:before="212" w:line="228" w:lineRule="auto"/>
        <w:ind w:left="142"/>
        <w:rPr>
          <w:rFonts w:hint="eastAsia" w:ascii="宋体" w:hAnsi="宋体" w:eastAsia="宋体" w:cs="宋体"/>
          <w:sz w:val="20"/>
        </w:rPr>
      </w:pPr>
      <w:r>
        <w:rPr>
          <w:rFonts w:eastAsia="Times New Roman"/>
          <w:spacing w:val="14"/>
          <w:sz w:val="20"/>
        </w:rPr>
        <w:t>17.</w:t>
      </w:r>
      <w:r>
        <w:rPr>
          <w:rFonts w:ascii="宋体" w:hAnsi="宋体" w:eastAsia="宋体" w:cs="宋体"/>
          <w:spacing w:val="7"/>
          <w:sz w:val="20"/>
        </w:rPr>
        <w:t>按国家危废管理制度要求或环保主管部门要求完成的其他工作。</w:t>
      </w:r>
    </w:p>
    <w:p w14:paraId="575BCE50">
      <w:pPr>
        <w:spacing w:before="214" w:line="273" w:lineRule="exact"/>
        <w:ind w:left="129"/>
        <w:outlineLvl w:val="0"/>
        <w:rPr>
          <w:rFonts w:hint="eastAsia" w:ascii="宋体" w:hAnsi="宋体" w:eastAsia="宋体" w:cs="宋体"/>
          <w:sz w:val="20"/>
        </w:rPr>
      </w:pPr>
      <w:r>
        <w:rPr>
          <w:rFonts w:ascii="宋体" w:hAnsi="宋体" w:eastAsia="宋体" w:cs="宋体"/>
          <w:spacing w:val="12"/>
          <w:position w:val="1"/>
          <w:sz w:val="20"/>
          <w14:textOutline w14:w="3797" w14:cap="sq" w14:cmpd="sng" w14:algn="ctr">
            <w14:solidFill>
              <w14:srgbClr w14:val="000000"/>
            </w14:solidFill>
            <w14:prstDash w14:val="solid"/>
            <w14:bevel/>
          </w14:textOutline>
        </w:rPr>
        <w:t>二</w:t>
      </w:r>
      <w:r>
        <w:rPr>
          <w:rFonts w:ascii="宋体" w:hAnsi="宋体" w:eastAsia="宋体" w:cs="宋体"/>
          <w:spacing w:val="9"/>
          <w:position w:val="1"/>
          <w:sz w:val="20"/>
          <w14:textOutline w14:w="3797" w14:cap="sq" w14:cmpd="sng" w14:algn="ctr">
            <w14:solidFill>
              <w14:srgbClr w14:val="000000"/>
            </w14:solidFill>
            <w14:prstDash w14:val="solid"/>
            <w14:bevel/>
          </w14:textOutline>
        </w:rPr>
        <w:t>、飞灰稳定化处理标准和要求：</w:t>
      </w:r>
    </w:p>
    <w:p w14:paraId="7806C4E0">
      <w:pPr>
        <w:spacing w:before="188" w:line="226" w:lineRule="auto"/>
        <w:ind w:left="142"/>
        <w:rPr>
          <w:rFonts w:hint="eastAsia" w:ascii="宋体" w:hAnsi="宋体" w:eastAsia="宋体" w:cs="宋体"/>
          <w:sz w:val="20"/>
        </w:rPr>
      </w:pPr>
      <w:r>
        <w:rPr>
          <w:rFonts w:eastAsia="Times New Roman"/>
          <w:spacing w:val="7"/>
          <w:sz w:val="20"/>
        </w:rPr>
        <w:t>1.</w:t>
      </w:r>
      <w:r>
        <w:rPr>
          <w:rFonts w:ascii="宋体" w:hAnsi="宋体" w:eastAsia="宋体" w:cs="宋体"/>
          <w:spacing w:val="7"/>
          <w:sz w:val="20"/>
        </w:rPr>
        <w:t>螯合剂的添加比例根据飞灰监测报告进行添加</w:t>
      </w:r>
      <w:r>
        <w:rPr>
          <w:rFonts w:ascii="宋体" w:hAnsi="宋体" w:eastAsia="宋体" w:cs="宋体"/>
          <w:spacing w:val="4"/>
          <w:sz w:val="20"/>
        </w:rPr>
        <w:t>。</w:t>
      </w:r>
    </w:p>
    <w:p w14:paraId="36BBC235">
      <w:pPr>
        <w:spacing w:before="176" w:line="344" w:lineRule="auto"/>
        <w:ind w:left="567" w:right="114" w:hanging="446"/>
        <w:rPr>
          <w:rFonts w:hint="eastAsia" w:ascii="宋体" w:hAnsi="宋体" w:eastAsia="宋体" w:cs="宋体"/>
          <w:sz w:val="20"/>
        </w:rPr>
      </w:pPr>
      <w:r>
        <w:rPr>
          <w:rFonts w:eastAsia="Times New Roman"/>
          <w:spacing w:val="8"/>
          <w:sz w:val="20"/>
        </w:rPr>
        <w:t>2</w:t>
      </w:r>
      <w:r>
        <w:rPr>
          <w:rFonts w:eastAsia="Times New Roman"/>
          <w:spacing w:val="4"/>
          <w:sz w:val="20"/>
        </w:rPr>
        <w:t>.</w:t>
      </w:r>
      <w:r>
        <w:rPr>
          <w:rFonts w:ascii="宋体" w:hAnsi="宋体" w:eastAsia="宋体" w:cs="宋体"/>
          <w:spacing w:val="4"/>
          <w:sz w:val="20"/>
        </w:rPr>
        <w:t xml:space="preserve">水的添加比例按处理垃圾所产生的飞灰总量的 </w:t>
      </w:r>
      <w:r>
        <w:rPr>
          <w:rFonts w:eastAsia="Times New Roman"/>
          <w:spacing w:val="4"/>
          <w:sz w:val="20"/>
        </w:rPr>
        <w:t>10%—25%</w:t>
      </w:r>
      <w:r>
        <w:rPr>
          <w:rFonts w:ascii="宋体" w:hAnsi="宋体" w:eastAsia="宋体" w:cs="宋体"/>
          <w:spacing w:val="4"/>
          <w:sz w:val="20"/>
        </w:rPr>
        <w:t xml:space="preserve">，以不超过 </w:t>
      </w:r>
      <w:r>
        <w:rPr>
          <w:rFonts w:eastAsia="Times New Roman"/>
          <w:spacing w:val="4"/>
          <w:sz w:val="20"/>
        </w:rPr>
        <w:t>30%</w:t>
      </w:r>
      <w:r>
        <w:rPr>
          <w:rFonts w:ascii="宋体" w:hAnsi="宋体" w:eastAsia="宋体" w:cs="宋体"/>
          <w:spacing w:val="4"/>
          <w:sz w:val="20"/>
        </w:rPr>
        <w:t>为基准，谨防</w:t>
      </w:r>
      <w:r>
        <w:rPr>
          <w:rFonts w:ascii="宋体" w:hAnsi="宋体" w:eastAsia="宋体" w:cs="宋体"/>
          <w:sz w:val="20"/>
        </w:rPr>
        <w:t xml:space="preserve"> </w:t>
      </w:r>
      <w:r>
        <w:rPr>
          <w:rFonts w:ascii="宋体" w:hAnsi="宋体" w:eastAsia="宋体" w:cs="宋体"/>
          <w:spacing w:val="7"/>
          <w:sz w:val="20"/>
        </w:rPr>
        <w:t>固</w:t>
      </w:r>
      <w:r>
        <w:rPr>
          <w:rFonts w:ascii="宋体" w:hAnsi="宋体" w:eastAsia="宋体" w:cs="宋体"/>
          <w:spacing w:val="4"/>
          <w:sz w:val="20"/>
        </w:rPr>
        <w:t>化无法成形。</w:t>
      </w:r>
    </w:p>
    <w:p w14:paraId="5C163668">
      <w:pPr>
        <w:spacing w:before="212" w:line="317" w:lineRule="auto"/>
        <w:ind w:left="552" w:right="76" w:hanging="426"/>
        <w:rPr>
          <w:rFonts w:hint="eastAsia" w:ascii="宋体" w:hAnsi="宋体" w:eastAsia="宋体" w:cs="宋体"/>
          <w:sz w:val="20"/>
        </w:rPr>
      </w:pPr>
      <w:r>
        <w:rPr>
          <w:rFonts w:eastAsia="Times New Roman"/>
          <w:spacing w:val="14"/>
          <w:sz w:val="20"/>
        </w:rPr>
        <w:t>3.</w:t>
      </w:r>
      <w:r>
        <w:rPr>
          <w:rFonts w:ascii="宋体" w:hAnsi="宋体" w:eastAsia="宋体" w:cs="宋体"/>
          <w:spacing w:val="7"/>
          <w:sz w:val="20"/>
        </w:rPr>
        <w:t>根据高州及吴川项目实际情况，螯合物必须保证在厂内暂存</w:t>
      </w:r>
      <w:r>
        <w:rPr>
          <w:rFonts w:hint="eastAsia" w:ascii="宋体" w:hAnsi="宋体" w:eastAsia="宋体" w:cs="宋体"/>
          <w:spacing w:val="7"/>
          <w:sz w:val="20"/>
          <w:highlight w:val="red"/>
        </w:rPr>
        <w:t>12</w:t>
      </w:r>
      <w:r>
        <w:rPr>
          <w:rFonts w:ascii="宋体" w:hAnsi="宋体" w:eastAsia="宋体" w:cs="宋体"/>
          <w:spacing w:val="7"/>
          <w:sz w:val="20"/>
        </w:rPr>
        <w:t>个月后出库检测合格，</w:t>
      </w:r>
      <w:r>
        <w:rPr>
          <w:rFonts w:ascii="宋体" w:hAnsi="宋体" w:eastAsia="宋体" w:cs="宋体"/>
          <w:sz w:val="20"/>
        </w:rPr>
        <w:t xml:space="preserve"> </w:t>
      </w:r>
      <w:r>
        <w:rPr>
          <w:rFonts w:ascii="宋体" w:hAnsi="宋体" w:eastAsia="宋体" w:cs="宋体"/>
          <w:spacing w:val="11"/>
          <w:sz w:val="20"/>
        </w:rPr>
        <w:t>符</w:t>
      </w:r>
      <w:r>
        <w:rPr>
          <w:rFonts w:ascii="宋体" w:hAnsi="宋体" w:eastAsia="宋体" w:cs="宋体"/>
          <w:spacing w:val="7"/>
          <w:sz w:val="20"/>
        </w:rPr>
        <w:t>合外运填埋要求。</w:t>
      </w:r>
    </w:p>
    <w:p w14:paraId="5B3214BD">
      <w:pPr>
        <w:spacing w:before="233" w:line="228" w:lineRule="auto"/>
        <w:ind w:left="120"/>
        <w:rPr>
          <w:rFonts w:hint="eastAsia" w:ascii="宋体" w:hAnsi="宋体" w:eastAsia="宋体" w:cs="宋体"/>
          <w:sz w:val="20"/>
        </w:rPr>
      </w:pPr>
      <w:r>
        <w:rPr>
          <w:rFonts w:eastAsia="Times New Roman"/>
          <w:spacing w:val="7"/>
          <w:sz w:val="20"/>
        </w:rPr>
        <w:t>4.</w:t>
      </w:r>
      <w:r>
        <w:rPr>
          <w:rFonts w:ascii="宋体" w:hAnsi="宋体" w:eastAsia="宋体" w:cs="宋体"/>
          <w:spacing w:val="7"/>
          <w:sz w:val="20"/>
        </w:rPr>
        <w:t>固化处理后的飞灰必须满足《生活垃圾填埋场污染物控制标准》  (</w:t>
      </w:r>
      <w:r>
        <w:rPr>
          <w:rFonts w:eastAsia="Times New Roman"/>
          <w:sz w:val="20"/>
        </w:rPr>
        <w:t>GB</w:t>
      </w:r>
      <w:r>
        <w:rPr>
          <w:rFonts w:eastAsia="Times New Roman"/>
          <w:spacing w:val="7"/>
          <w:sz w:val="20"/>
        </w:rPr>
        <w:t>16889-2008</w:t>
      </w:r>
      <w:r>
        <w:rPr>
          <w:rFonts w:ascii="宋体" w:hAnsi="宋体" w:eastAsia="宋体" w:cs="宋体"/>
          <w:spacing w:val="7"/>
          <w:sz w:val="20"/>
        </w:rPr>
        <w:t xml:space="preserve">) </w:t>
      </w:r>
      <w:r>
        <w:rPr>
          <w:rFonts w:ascii="宋体" w:hAnsi="宋体" w:eastAsia="宋体" w:cs="宋体"/>
          <w:spacing w:val="6"/>
          <w:sz w:val="20"/>
        </w:rPr>
        <w:t>要</w:t>
      </w:r>
    </w:p>
    <w:p w14:paraId="2B527226">
      <w:pPr>
        <w:spacing w:before="215" w:line="229" w:lineRule="auto"/>
        <w:ind w:left="552"/>
        <w:rPr>
          <w:rFonts w:hint="eastAsia" w:ascii="宋体" w:hAnsi="宋体" w:eastAsia="宋体" w:cs="宋体"/>
          <w:sz w:val="20"/>
        </w:rPr>
      </w:pPr>
      <w:r>
        <w:rPr>
          <w:rFonts w:ascii="宋体" w:hAnsi="宋体" w:eastAsia="宋体" w:cs="宋体"/>
          <w:spacing w:val="7"/>
          <w:sz w:val="20"/>
        </w:rPr>
        <w:t>求</w:t>
      </w:r>
      <w:r>
        <w:rPr>
          <w:rFonts w:ascii="宋体" w:hAnsi="宋体" w:eastAsia="宋体" w:cs="宋体"/>
          <w:spacing w:val="4"/>
          <w:sz w:val="20"/>
        </w:rPr>
        <w:t>。即：</w:t>
      </w:r>
    </w:p>
    <w:p w14:paraId="14F1ED54">
      <w:pPr>
        <w:spacing w:before="172" w:line="281" w:lineRule="exact"/>
        <w:ind w:left="124"/>
        <w:rPr>
          <w:rFonts w:hint="eastAsia" w:ascii="宋体" w:hAnsi="宋体" w:eastAsia="宋体" w:cs="宋体"/>
          <w:sz w:val="20"/>
        </w:rPr>
      </w:pPr>
      <w:r>
        <w:rPr>
          <w:rFonts w:ascii="宋体" w:hAnsi="宋体" w:eastAsia="宋体" w:cs="宋体"/>
          <w:spacing w:val="4"/>
          <w:position w:val="1"/>
          <w:sz w:val="20"/>
        </w:rPr>
        <w:t>①</w:t>
      </w:r>
      <w:r>
        <w:rPr>
          <w:rFonts w:ascii="宋体" w:hAnsi="宋体" w:eastAsia="宋体" w:cs="宋体"/>
          <w:spacing w:val="2"/>
          <w:position w:val="1"/>
          <w:sz w:val="20"/>
        </w:rPr>
        <w:t xml:space="preserve">含水率小于 </w:t>
      </w:r>
      <w:r>
        <w:rPr>
          <w:rFonts w:eastAsia="Times New Roman"/>
          <w:spacing w:val="2"/>
          <w:position w:val="1"/>
          <w:sz w:val="20"/>
        </w:rPr>
        <w:t>30%</w:t>
      </w:r>
      <w:r>
        <w:rPr>
          <w:rFonts w:ascii="宋体" w:hAnsi="宋体" w:eastAsia="宋体" w:cs="宋体"/>
          <w:spacing w:val="2"/>
          <w:position w:val="1"/>
          <w:sz w:val="20"/>
        </w:rPr>
        <w:t>；</w:t>
      </w:r>
    </w:p>
    <w:p w14:paraId="202A7AF8">
      <w:pPr>
        <w:spacing w:before="180" w:line="281" w:lineRule="exact"/>
        <w:ind w:left="124"/>
        <w:rPr>
          <w:rFonts w:eastAsia="Times New Roman"/>
          <w:sz w:val="20"/>
        </w:rPr>
      </w:pPr>
      <w:r>
        <w:rPr>
          <w:rFonts w:ascii="宋体" w:hAnsi="宋体" w:eastAsia="宋体" w:cs="宋体"/>
          <w:spacing w:val="6"/>
          <w:position w:val="2"/>
          <w:sz w:val="20"/>
        </w:rPr>
        <w:t xml:space="preserve">②二噁英含量低于 </w:t>
      </w:r>
      <w:r>
        <w:rPr>
          <w:rFonts w:eastAsia="Times New Roman"/>
          <w:spacing w:val="6"/>
          <w:position w:val="2"/>
          <w:sz w:val="20"/>
        </w:rPr>
        <w:t>3µ</w:t>
      </w:r>
      <w:r>
        <w:rPr>
          <w:rFonts w:eastAsia="Times New Roman"/>
          <w:position w:val="2"/>
          <w:sz w:val="20"/>
        </w:rPr>
        <w:t>gTEQ</w:t>
      </w:r>
      <w:r>
        <w:rPr>
          <w:rFonts w:eastAsia="Times New Roman"/>
          <w:spacing w:val="5"/>
          <w:position w:val="2"/>
          <w:sz w:val="20"/>
        </w:rPr>
        <w:t>/</w:t>
      </w:r>
      <w:r>
        <w:rPr>
          <w:rFonts w:eastAsia="Times New Roman"/>
          <w:position w:val="2"/>
          <w:sz w:val="20"/>
        </w:rPr>
        <w:t>kg</w:t>
      </w:r>
    </w:p>
    <w:p w14:paraId="18BC5290">
      <w:pPr>
        <w:spacing w:before="180" w:line="281" w:lineRule="exact"/>
        <w:ind w:left="124"/>
        <w:rPr>
          <w:rFonts w:hint="eastAsia" w:ascii="宋体" w:hAnsi="宋体" w:eastAsia="宋体" w:cs="宋体"/>
          <w:sz w:val="20"/>
        </w:rPr>
      </w:pPr>
      <w:r>
        <w:rPr>
          <w:rFonts w:ascii="宋体" w:hAnsi="宋体" w:eastAsia="宋体" w:cs="宋体"/>
          <w:spacing w:val="8"/>
          <w:position w:val="1"/>
          <w:sz w:val="20"/>
        </w:rPr>
        <w:t>③</w:t>
      </w:r>
      <w:r>
        <w:rPr>
          <w:rFonts w:ascii="宋体" w:hAnsi="宋体" w:eastAsia="宋体" w:cs="宋体"/>
          <w:spacing w:val="6"/>
          <w:position w:val="1"/>
          <w:sz w:val="20"/>
        </w:rPr>
        <w:t xml:space="preserve">按照环保行业标准 </w:t>
      </w:r>
      <w:r>
        <w:rPr>
          <w:rFonts w:eastAsia="Times New Roman"/>
          <w:position w:val="1"/>
          <w:sz w:val="20"/>
        </w:rPr>
        <w:t>HJ</w:t>
      </w:r>
      <w:r>
        <w:rPr>
          <w:rFonts w:eastAsia="Times New Roman"/>
          <w:spacing w:val="6"/>
          <w:position w:val="1"/>
          <w:sz w:val="20"/>
        </w:rPr>
        <w:t>/</w:t>
      </w:r>
      <w:r>
        <w:rPr>
          <w:rFonts w:eastAsia="Times New Roman"/>
          <w:position w:val="1"/>
          <w:sz w:val="20"/>
        </w:rPr>
        <w:t>T</w:t>
      </w:r>
      <w:r>
        <w:rPr>
          <w:rFonts w:eastAsia="Times New Roman"/>
          <w:spacing w:val="6"/>
          <w:position w:val="1"/>
          <w:sz w:val="20"/>
        </w:rPr>
        <w:t xml:space="preserve">300 </w:t>
      </w:r>
      <w:r>
        <w:rPr>
          <w:rFonts w:ascii="宋体" w:hAnsi="宋体" w:eastAsia="宋体" w:cs="宋体"/>
          <w:spacing w:val="6"/>
          <w:position w:val="1"/>
          <w:sz w:val="20"/>
        </w:rPr>
        <w:t xml:space="preserve">制备的浸出液中危害成分浓度低于表 </w:t>
      </w:r>
      <w:r>
        <w:rPr>
          <w:rFonts w:eastAsia="Times New Roman"/>
          <w:spacing w:val="6"/>
          <w:position w:val="1"/>
          <w:sz w:val="20"/>
        </w:rPr>
        <w:t xml:space="preserve">1 </w:t>
      </w:r>
      <w:r>
        <w:rPr>
          <w:rFonts w:ascii="宋体" w:hAnsi="宋体" w:eastAsia="宋体" w:cs="宋体"/>
          <w:spacing w:val="6"/>
          <w:position w:val="1"/>
          <w:sz w:val="20"/>
        </w:rPr>
        <w:t>规定的限值。</w:t>
      </w:r>
    </w:p>
    <w:p w14:paraId="0BB82952">
      <w:pPr>
        <w:spacing w:before="215" w:line="225" w:lineRule="auto"/>
        <w:ind w:left="124"/>
        <w:rPr>
          <w:rFonts w:hint="eastAsia" w:ascii="宋体" w:hAnsi="宋体" w:eastAsia="宋体" w:cs="宋体"/>
          <w:sz w:val="20"/>
        </w:rPr>
      </w:pPr>
      <w:r>
        <w:rPr>
          <w:rFonts w:ascii="宋体" w:hAnsi="宋体" w:eastAsia="宋体" w:cs="宋体"/>
          <w:spacing w:val="9"/>
          <w:sz w:val="20"/>
        </w:rPr>
        <w:t>④重金属含量浓度标准限值低于下表</w:t>
      </w:r>
      <w:r>
        <w:rPr>
          <w:rFonts w:ascii="宋体" w:hAnsi="宋体" w:eastAsia="宋体" w:cs="宋体"/>
          <w:spacing w:val="7"/>
          <w:sz w:val="20"/>
        </w:rPr>
        <w:t>：</w:t>
      </w:r>
    </w:p>
    <w:p w14:paraId="3315DB73">
      <w:pPr>
        <w:spacing w:line="28" w:lineRule="exact"/>
      </w:pPr>
    </w:p>
    <w:tbl>
      <w:tblPr>
        <w:tblStyle w:val="124"/>
        <w:tblW w:w="852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845"/>
        <w:gridCol w:w="2836"/>
        <w:gridCol w:w="2845"/>
      </w:tblGrid>
      <w:tr w14:paraId="128ED5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4" w:hRule="atLeast"/>
        </w:trPr>
        <w:tc>
          <w:tcPr>
            <w:tcW w:w="2845" w:type="dxa"/>
            <w:tcBorders>
              <w:top w:val="single" w:color="000000" w:sz="2" w:space="0"/>
              <w:bottom w:val="single" w:color="000000" w:sz="2" w:space="0"/>
            </w:tcBorders>
          </w:tcPr>
          <w:p w14:paraId="68908824">
            <w:pPr>
              <w:spacing w:before="104" w:line="229" w:lineRule="auto"/>
              <w:ind w:left="1211"/>
              <w:rPr>
                <w:rFonts w:hint="eastAsia" w:ascii="宋体" w:hAnsi="宋体" w:eastAsia="宋体" w:cs="宋体"/>
                <w:sz w:val="20"/>
              </w:rPr>
            </w:pPr>
            <w:r>
              <w:rPr>
                <w:rFonts w:ascii="宋体" w:hAnsi="宋体" w:eastAsia="宋体" w:cs="宋体"/>
                <w:spacing w:val="5"/>
                <w:sz w:val="20"/>
              </w:rPr>
              <w:t>序号</w:t>
            </w:r>
          </w:p>
        </w:tc>
        <w:tc>
          <w:tcPr>
            <w:tcW w:w="2836" w:type="dxa"/>
            <w:tcBorders>
              <w:top w:val="single" w:color="000000" w:sz="2" w:space="0"/>
              <w:bottom w:val="single" w:color="000000" w:sz="2" w:space="0"/>
            </w:tcBorders>
          </w:tcPr>
          <w:p w14:paraId="0BC3C438">
            <w:pPr>
              <w:spacing w:before="104" w:line="228" w:lineRule="auto"/>
              <w:ind w:left="893"/>
              <w:rPr>
                <w:rFonts w:hint="eastAsia" w:ascii="宋体" w:hAnsi="宋体" w:eastAsia="宋体" w:cs="宋体"/>
                <w:sz w:val="20"/>
              </w:rPr>
            </w:pPr>
            <w:r>
              <w:rPr>
                <w:rFonts w:ascii="宋体" w:hAnsi="宋体" w:eastAsia="宋体" w:cs="宋体"/>
                <w:spacing w:val="8"/>
                <w:sz w:val="20"/>
              </w:rPr>
              <w:t>污染物项</w:t>
            </w:r>
            <w:r>
              <w:rPr>
                <w:rFonts w:ascii="宋体" w:hAnsi="宋体" w:eastAsia="宋体" w:cs="宋体"/>
                <w:spacing w:val="7"/>
                <w:sz w:val="20"/>
              </w:rPr>
              <w:t>目</w:t>
            </w:r>
          </w:p>
        </w:tc>
        <w:tc>
          <w:tcPr>
            <w:tcW w:w="2845" w:type="dxa"/>
            <w:tcBorders>
              <w:top w:val="single" w:color="000000" w:sz="2" w:space="0"/>
              <w:bottom w:val="single" w:color="000000" w:sz="2" w:space="0"/>
            </w:tcBorders>
          </w:tcPr>
          <w:p w14:paraId="704B4479">
            <w:pPr>
              <w:spacing w:before="66" w:line="281" w:lineRule="exact"/>
              <w:ind w:left="566"/>
              <w:rPr>
                <w:rFonts w:hint="eastAsia" w:ascii="宋体" w:hAnsi="宋体" w:eastAsia="宋体" w:cs="宋体"/>
                <w:sz w:val="20"/>
              </w:rPr>
            </w:pPr>
            <w:r>
              <w:rPr>
                <w:rFonts w:ascii="宋体" w:hAnsi="宋体" w:eastAsia="宋体" w:cs="宋体"/>
                <w:spacing w:val="12"/>
                <w:position w:val="2"/>
                <w:sz w:val="20"/>
              </w:rPr>
              <w:t>浓</w:t>
            </w:r>
            <w:r>
              <w:rPr>
                <w:rFonts w:ascii="宋体" w:hAnsi="宋体" w:eastAsia="宋体" w:cs="宋体"/>
                <w:spacing w:val="7"/>
                <w:position w:val="2"/>
                <w:sz w:val="20"/>
              </w:rPr>
              <w:t>度限值 (</w:t>
            </w:r>
            <w:r>
              <w:rPr>
                <w:rFonts w:eastAsia="Times New Roman"/>
                <w:position w:val="2"/>
                <w:sz w:val="20"/>
              </w:rPr>
              <w:t>mg</w:t>
            </w:r>
            <w:r>
              <w:rPr>
                <w:rFonts w:eastAsia="Times New Roman"/>
                <w:spacing w:val="7"/>
                <w:position w:val="2"/>
                <w:sz w:val="20"/>
              </w:rPr>
              <w:t>/</w:t>
            </w:r>
            <w:r>
              <w:rPr>
                <w:rFonts w:eastAsia="Times New Roman"/>
                <w:position w:val="2"/>
                <w:sz w:val="20"/>
              </w:rPr>
              <w:t>L</w:t>
            </w:r>
            <w:r>
              <w:rPr>
                <w:rFonts w:ascii="宋体" w:hAnsi="宋体" w:eastAsia="宋体" w:cs="宋体"/>
                <w:spacing w:val="7"/>
                <w:position w:val="2"/>
                <w:sz w:val="20"/>
              </w:rPr>
              <w:t>)</w:t>
            </w:r>
          </w:p>
        </w:tc>
      </w:tr>
      <w:tr w14:paraId="4255C1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845" w:type="dxa"/>
            <w:tcBorders>
              <w:top w:val="single" w:color="000000" w:sz="2" w:space="0"/>
              <w:bottom w:val="single" w:color="000000" w:sz="2" w:space="0"/>
            </w:tcBorders>
          </w:tcPr>
          <w:p w14:paraId="0CA6957A">
            <w:pPr>
              <w:spacing w:before="146" w:line="195" w:lineRule="auto"/>
              <w:ind w:left="1387"/>
              <w:rPr>
                <w:rFonts w:eastAsia="Times New Roman"/>
                <w:sz w:val="20"/>
              </w:rPr>
            </w:pPr>
            <w:r>
              <w:rPr>
                <w:rFonts w:eastAsia="Times New Roman"/>
                <w:sz w:val="20"/>
              </w:rPr>
              <w:t>1</w:t>
            </w:r>
          </w:p>
        </w:tc>
        <w:tc>
          <w:tcPr>
            <w:tcW w:w="2836" w:type="dxa"/>
            <w:tcBorders>
              <w:top w:val="single" w:color="000000" w:sz="2" w:space="0"/>
              <w:bottom w:val="single" w:color="000000" w:sz="2" w:space="0"/>
            </w:tcBorders>
          </w:tcPr>
          <w:p w14:paraId="6DC112D4">
            <w:pPr>
              <w:spacing w:before="95" w:line="220" w:lineRule="auto"/>
              <w:ind w:left="1312"/>
              <w:rPr>
                <w:rFonts w:hint="eastAsia" w:ascii="宋体" w:hAnsi="宋体" w:eastAsia="宋体" w:cs="宋体"/>
                <w:sz w:val="20"/>
              </w:rPr>
            </w:pPr>
            <w:r>
              <w:rPr>
                <w:rFonts w:ascii="宋体" w:hAnsi="宋体" w:eastAsia="宋体" w:cs="宋体"/>
                <w:sz w:val="20"/>
              </w:rPr>
              <w:t>汞</w:t>
            </w:r>
          </w:p>
        </w:tc>
        <w:tc>
          <w:tcPr>
            <w:tcW w:w="2845" w:type="dxa"/>
            <w:tcBorders>
              <w:top w:val="single" w:color="000000" w:sz="2" w:space="0"/>
              <w:bottom w:val="single" w:color="000000" w:sz="2" w:space="0"/>
            </w:tcBorders>
          </w:tcPr>
          <w:p w14:paraId="22FC40FC">
            <w:pPr>
              <w:spacing w:before="146" w:line="195" w:lineRule="auto"/>
              <w:ind w:left="1237"/>
              <w:rPr>
                <w:rFonts w:eastAsia="Times New Roman"/>
                <w:sz w:val="20"/>
              </w:rPr>
            </w:pPr>
            <w:r>
              <w:rPr>
                <w:rFonts w:eastAsia="Times New Roman"/>
                <w:spacing w:val="4"/>
                <w:sz w:val="20"/>
              </w:rPr>
              <w:t>0</w:t>
            </w:r>
            <w:r>
              <w:rPr>
                <w:rFonts w:eastAsia="Times New Roman"/>
                <w:spacing w:val="2"/>
                <w:sz w:val="20"/>
              </w:rPr>
              <w:t xml:space="preserve"> 05</w:t>
            </w:r>
          </w:p>
        </w:tc>
      </w:tr>
      <w:tr w14:paraId="65EC7A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5" w:hRule="atLeast"/>
        </w:trPr>
        <w:tc>
          <w:tcPr>
            <w:tcW w:w="2845" w:type="dxa"/>
            <w:tcBorders>
              <w:top w:val="single" w:color="000000" w:sz="2" w:space="0"/>
              <w:bottom w:val="single" w:color="000000" w:sz="2" w:space="0"/>
            </w:tcBorders>
          </w:tcPr>
          <w:p w14:paraId="6EF3607C">
            <w:pPr>
              <w:spacing w:before="157" w:line="195" w:lineRule="auto"/>
              <w:ind w:left="1366"/>
              <w:rPr>
                <w:rFonts w:eastAsia="Times New Roman"/>
                <w:sz w:val="20"/>
              </w:rPr>
            </w:pPr>
            <w:r>
              <w:rPr>
                <w:rFonts w:eastAsia="Times New Roman"/>
                <w:sz w:val="20"/>
              </w:rPr>
              <w:t>2</w:t>
            </w:r>
          </w:p>
        </w:tc>
        <w:tc>
          <w:tcPr>
            <w:tcW w:w="2836" w:type="dxa"/>
            <w:tcBorders>
              <w:top w:val="single" w:color="000000" w:sz="2" w:space="0"/>
              <w:bottom w:val="single" w:color="000000" w:sz="2" w:space="0"/>
            </w:tcBorders>
          </w:tcPr>
          <w:p w14:paraId="09C96B10">
            <w:pPr>
              <w:spacing w:before="106" w:line="229" w:lineRule="auto"/>
              <w:ind w:left="1312"/>
              <w:rPr>
                <w:rFonts w:hint="eastAsia" w:ascii="宋体" w:hAnsi="宋体" w:eastAsia="宋体" w:cs="宋体"/>
                <w:sz w:val="20"/>
              </w:rPr>
            </w:pPr>
            <w:r>
              <w:rPr>
                <w:rFonts w:ascii="宋体" w:hAnsi="宋体" w:eastAsia="宋体" w:cs="宋体"/>
                <w:sz w:val="20"/>
              </w:rPr>
              <w:t>铜</w:t>
            </w:r>
          </w:p>
        </w:tc>
        <w:tc>
          <w:tcPr>
            <w:tcW w:w="2845" w:type="dxa"/>
            <w:tcBorders>
              <w:top w:val="single" w:color="000000" w:sz="2" w:space="0"/>
              <w:bottom w:val="single" w:color="000000" w:sz="2" w:space="0"/>
            </w:tcBorders>
          </w:tcPr>
          <w:p w14:paraId="0F1CFB97">
            <w:pPr>
              <w:spacing w:before="157" w:line="195" w:lineRule="auto"/>
              <w:ind w:left="1312"/>
              <w:rPr>
                <w:rFonts w:eastAsia="Times New Roman"/>
                <w:sz w:val="20"/>
              </w:rPr>
            </w:pPr>
            <w:r>
              <w:rPr>
                <w:rFonts w:eastAsia="Times New Roman"/>
                <w:spacing w:val="3"/>
                <w:sz w:val="20"/>
              </w:rPr>
              <w:t>40</w:t>
            </w:r>
          </w:p>
        </w:tc>
      </w:tr>
      <w:tr w14:paraId="1F63A9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4" w:hRule="atLeast"/>
        </w:trPr>
        <w:tc>
          <w:tcPr>
            <w:tcW w:w="2845" w:type="dxa"/>
            <w:tcBorders>
              <w:top w:val="single" w:color="000000" w:sz="2" w:space="0"/>
              <w:bottom w:val="single" w:color="000000" w:sz="2" w:space="0"/>
            </w:tcBorders>
          </w:tcPr>
          <w:p w14:paraId="3C32542A">
            <w:pPr>
              <w:spacing w:before="147" w:line="195" w:lineRule="auto"/>
              <w:ind w:left="1371"/>
              <w:rPr>
                <w:rFonts w:eastAsia="Times New Roman"/>
                <w:sz w:val="20"/>
              </w:rPr>
            </w:pPr>
            <w:r>
              <w:rPr>
                <w:rFonts w:eastAsia="Times New Roman"/>
                <w:sz w:val="20"/>
              </w:rPr>
              <w:t>3</w:t>
            </w:r>
          </w:p>
        </w:tc>
        <w:tc>
          <w:tcPr>
            <w:tcW w:w="2836" w:type="dxa"/>
            <w:tcBorders>
              <w:top w:val="single" w:color="000000" w:sz="2" w:space="0"/>
              <w:bottom w:val="single" w:color="000000" w:sz="2" w:space="0"/>
            </w:tcBorders>
          </w:tcPr>
          <w:p w14:paraId="71D3ADF7">
            <w:pPr>
              <w:spacing w:before="95" w:line="228" w:lineRule="auto"/>
              <w:ind w:left="1311"/>
              <w:rPr>
                <w:rFonts w:hint="eastAsia" w:ascii="宋体" w:hAnsi="宋体" w:eastAsia="宋体" w:cs="宋体"/>
                <w:sz w:val="20"/>
              </w:rPr>
            </w:pPr>
            <w:r>
              <w:rPr>
                <w:rFonts w:ascii="宋体" w:hAnsi="宋体" w:eastAsia="宋体" w:cs="宋体"/>
                <w:spacing w:val="1"/>
                <w:sz w:val="20"/>
              </w:rPr>
              <w:t>锌</w:t>
            </w:r>
          </w:p>
        </w:tc>
        <w:tc>
          <w:tcPr>
            <w:tcW w:w="2845" w:type="dxa"/>
            <w:tcBorders>
              <w:top w:val="single" w:color="000000" w:sz="2" w:space="0"/>
              <w:bottom w:val="single" w:color="000000" w:sz="2" w:space="0"/>
            </w:tcBorders>
          </w:tcPr>
          <w:p w14:paraId="60C5CD59">
            <w:pPr>
              <w:spacing w:before="147" w:line="195" w:lineRule="auto"/>
              <w:ind w:left="1281"/>
              <w:rPr>
                <w:rFonts w:eastAsia="Times New Roman"/>
                <w:sz w:val="20"/>
              </w:rPr>
            </w:pPr>
            <w:r>
              <w:rPr>
                <w:rFonts w:eastAsia="Times New Roman"/>
                <w:spacing w:val="-3"/>
                <w:sz w:val="20"/>
              </w:rPr>
              <w:t>100</w:t>
            </w:r>
          </w:p>
        </w:tc>
      </w:tr>
      <w:tr w14:paraId="4FC57D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845" w:type="dxa"/>
            <w:tcBorders>
              <w:top w:val="single" w:color="000000" w:sz="2" w:space="0"/>
              <w:bottom w:val="single" w:color="000000" w:sz="2" w:space="0"/>
            </w:tcBorders>
          </w:tcPr>
          <w:p w14:paraId="4D694E23">
            <w:pPr>
              <w:spacing w:before="150" w:line="192" w:lineRule="auto"/>
              <w:ind w:left="1365"/>
              <w:rPr>
                <w:rFonts w:eastAsia="Times New Roman"/>
                <w:sz w:val="20"/>
              </w:rPr>
            </w:pPr>
            <w:r>
              <w:rPr>
                <w:rFonts w:eastAsia="Times New Roman"/>
                <w:spacing w:val="1"/>
                <w:sz w:val="20"/>
              </w:rPr>
              <w:t>4</w:t>
            </w:r>
          </w:p>
        </w:tc>
        <w:tc>
          <w:tcPr>
            <w:tcW w:w="2836" w:type="dxa"/>
            <w:tcBorders>
              <w:top w:val="single" w:color="000000" w:sz="2" w:space="0"/>
              <w:bottom w:val="single" w:color="000000" w:sz="2" w:space="0"/>
            </w:tcBorders>
          </w:tcPr>
          <w:p w14:paraId="5BE783FB">
            <w:pPr>
              <w:spacing w:before="96" w:line="219" w:lineRule="auto"/>
              <w:ind w:left="1312"/>
              <w:rPr>
                <w:rFonts w:hint="eastAsia" w:ascii="宋体" w:hAnsi="宋体" w:eastAsia="宋体" w:cs="宋体"/>
                <w:sz w:val="20"/>
              </w:rPr>
            </w:pPr>
            <w:r>
              <w:rPr>
                <w:rFonts w:ascii="宋体" w:hAnsi="宋体" w:eastAsia="宋体" w:cs="宋体"/>
                <w:sz w:val="20"/>
              </w:rPr>
              <w:t>铅</w:t>
            </w:r>
          </w:p>
        </w:tc>
        <w:tc>
          <w:tcPr>
            <w:tcW w:w="2845" w:type="dxa"/>
            <w:tcBorders>
              <w:top w:val="single" w:color="000000" w:sz="2" w:space="0"/>
              <w:bottom w:val="single" w:color="000000" w:sz="2" w:space="0"/>
            </w:tcBorders>
          </w:tcPr>
          <w:p w14:paraId="5BBF2A45">
            <w:pPr>
              <w:spacing w:before="150" w:line="192" w:lineRule="auto"/>
              <w:ind w:left="1237"/>
              <w:rPr>
                <w:rFonts w:eastAsia="Times New Roman"/>
                <w:sz w:val="20"/>
              </w:rPr>
            </w:pPr>
            <w:r>
              <w:rPr>
                <w:rFonts w:eastAsia="Times New Roman"/>
                <w:spacing w:val="4"/>
                <w:sz w:val="20"/>
              </w:rPr>
              <w:t>0</w:t>
            </w:r>
            <w:r>
              <w:rPr>
                <w:rFonts w:eastAsia="Times New Roman"/>
                <w:spacing w:val="2"/>
                <w:sz w:val="20"/>
              </w:rPr>
              <w:t xml:space="preserve"> 25</w:t>
            </w:r>
          </w:p>
        </w:tc>
      </w:tr>
      <w:tr w14:paraId="4834E0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5" w:hRule="atLeast"/>
        </w:trPr>
        <w:tc>
          <w:tcPr>
            <w:tcW w:w="2845" w:type="dxa"/>
            <w:tcBorders>
              <w:top w:val="single" w:color="000000" w:sz="2" w:space="0"/>
              <w:bottom w:val="single" w:color="000000" w:sz="2" w:space="0"/>
            </w:tcBorders>
          </w:tcPr>
          <w:p w14:paraId="665CEE5D">
            <w:pPr>
              <w:spacing w:before="161" w:line="192" w:lineRule="auto"/>
              <w:ind w:left="1372"/>
              <w:rPr>
                <w:rFonts w:eastAsia="Times New Roman"/>
                <w:sz w:val="20"/>
              </w:rPr>
            </w:pPr>
            <w:r>
              <w:rPr>
                <w:rFonts w:eastAsia="Times New Roman"/>
                <w:sz w:val="20"/>
              </w:rPr>
              <w:t>5</w:t>
            </w:r>
          </w:p>
        </w:tc>
        <w:tc>
          <w:tcPr>
            <w:tcW w:w="2836" w:type="dxa"/>
            <w:tcBorders>
              <w:top w:val="single" w:color="000000" w:sz="2" w:space="0"/>
              <w:bottom w:val="single" w:color="000000" w:sz="2" w:space="0"/>
            </w:tcBorders>
          </w:tcPr>
          <w:p w14:paraId="16314E2A">
            <w:pPr>
              <w:spacing w:before="108" w:line="228" w:lineRule="auto"/>
              <w:ind w:left="1310"/>
              <w:rPr>
                <w:rFonts w:hint="eastAsia" w:ascii="宋体" w:hAnsi="宋体" w:eastAsia="宋体" w:cs="宋体"/>
                <w:sz w:val="20"/>
              </w:rPr>
            </w:pPr>
            <w:r>
              <w:rPr>
                <w:rFonts w:ascii="宋体" w:hAnsi="宋体" w:eastAsia="宋体" w:cs="宋体"/>
                <w:spacing w:val="2"/>
                <w:sz w:val="20"/>
              </w:rPr>
              <w:t>镉</w:t>
            </w:r>
          </w:p>
        </w:tc>
        <w:tc>
          <w:tcPr>
            <w:tcW w:w="2845" w:type="dxa"/>
            <w:tcBorders>
              <w:top w:val="single" w:color="000000" w:sz="2" w:space="0"/>
              <w:bottom w:val="single" w:color="000000" w:sz="2" w:space="0"/>
            </w:tcBorders>
          </w:tcPr>
          <w:p w14:paraId="7C9055B4">
            <w:pPr>
              <w:spacing w:before="158" w:line="195" w:lineRule="auto"/>
              <w:ind w:left="1237"/>
              <w:rPr>
                <w:rFonts w:eastAsia="Times New Roman"/>
                <w:sz w:val="20"/>
              </w:rPr>
            </w:pPr>
            <w:r>
              <w:rPr>
                <w:rFonts w:eastAsia="Times New Roman"/>
                <w:spacing w:val="-8"/>
                <w:sz w:val="20"/>
              </w:rPr>
              <w:t>0. 15</w:t>
            </w:r>
          </w:p>
        </w:tc>
      </w:tr>
      <w:tr w14:paraId="317A2D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4" w:hRule="atLeast"/>
        </w:trPr>
        <w:tc>
          <w:tcPr>
            <w:tcW w:w="2845" w:type="dxa"/>
            <w:tcBorders>
              <w:top w:val="single" w:color="000000" w:sz="2" w:space="0"/>
              <w:bottom w:val="single" w:color="000000" w:sz="2" w:space="0"/>
            </w:tcBorders>
          </w:tcPr>
          <w:p w14:paraId="2F8D4123">
            <w:pPr>
              <w:spacing w:before="148" w:line="195" w:lineRule="auto"/>
              <w:ind w:left="1371"/>
              <w:rPr>
                <w:rFonts w:eastAsia="Times New Roman"/>
                <w:sz w:val="20"/>
              </w:rPr>
            </w:pPr>
            <w:r>
              <w:rPr>
                <w:rFonts w:eastAsia="Times New Roman"/>
                <w:sz w:val="20"/>
              </w:rPr>
              <w:t>6</w:t>
            </w:r>
          </w:p>
        </w:tc>
        <w:tc>
          <w:tcPr>
            <w:tcW w:w="2836" w:type="dxa"/>
            <w:tcBorders>
              <w:top w:val="single" w:color="000000" w:sz="2" w:space="0"/>
              <w:bottom w:val="single" w:color="000000" w:sz="2" w:space="0"/>
            </w:tcBorders>
          </w:tcPr>
          <w:p w14:paraId="5908B5C7">
            <w:pPr>
              <w:spacing w:before="98" w:line="227" w:lineRule="auto"/>
              <w:ind w:left="1311"/>
              <w:rPr>
                <w:rFonts w:hint="eastAsia" w:ascii="宋体" w:hAnsi="宋体" w:eastAsia="宋体" w:cs="宋体"/>
                <w:sz w:val="20"/>
              </w:rPr>
            </w:pPr>
            <w:r>
              <w:rPr>
                <w:rFonts w:ascii="宋体" w:hAnsi="宋体" w:eastAsia="宋体" w:cs="宋体"/>
                <w:spacing w:val="1"/>
                <w:sz w:val="20"/>
              </w:rPr>
              <w:t>铍</w:t>
            </w:r>
          </w:p>
        </w:tc>
        <w:tc>
          <w:tcPr>
            <w:tcW w:w="2845" w:type="dxa"/>
            <w:tcBorders>
              <w:top w:val="single" w:color="000000" w:sz="2" w:space="0"/>
              <w:bottom w:val="single" w:color="000000" w:sz="2" w:space="0"/>
            </w:tcBorders>
          </w:tcPr>
          <w:p w14:paraId="3E3279DF">
            <w:pPr>
              <w:spacing w:before="149" w:line="195" w:lineRule="auto"/>
              <w:ind w:left="1237"/>
              <w:rPr>
                <w:rFonts w:eastAsia="Times New Roman"/>
                <w:sz w:val="20"/>
              </w:rPr>
            </w:pPr>
            <w:r>
              <w:rPr>
                <w:rFonts w:eastAsia="Times New Roman"/>
                <w:spacing w:val="4"/>
                <w:sz w:val="20"/>
              </w:rPr>
              <w:t>0</w:t>
            </w:r>
            <w:r>
              <w:rPr>
                <w:rFonts w:eastAsia="Times New Roman"/>
                <w:spacing w:val="2"/>
                <w:sz w:val="20"/>
              </w:rPr>
              <w:t>.02</w:t>
            </w:r>
          </w:p>
        </w:tc>
      </w:tr>
      <w:tr w14:paraId="5D3463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2845" w:type="dxa"/>
            <w:tcBorders>
              <w:top w:val="single" w:color="000000" w:sz="2" w:space="0"/>
              <w:bottom w:val="single" w:color="000000" w:sz="2" w:space="0"/>
            </w:tcBorders>
          </w:tcPr>
          <w:p w14:paraId="371EA7FC">
            <w:pPr>
              <w:spacing w:before="153" w:line="192" w:lineRule="auto"/>
              <w:ind w:left="1370"/>
              <w:rPr>
                <w:rFonts w:eastAsia="Times New Roman"/>
                <w:sz w:val="20"/>
              </w:rPr>
            </w:pPr>
            <w:r>
              <w:rPr>
                <w:rFonts w:eastAsia="Times New Roman"/>
                <w:sz w:val="20"/>
              </w:rPr>
              <w:t>7</w:t>
            </w:r>
          </w:p>
        </w:tc>
        <w:tc>
          <w:tcPr>
            <w:tcW w:w="2836" w:type="dxa"/>
            <w:tcBorders>
              <w:top w:val="single" w:color="000000" w:sz="2" w:space="0"/>
              <w:bottom w:val="single" w:color="000000" w:sz="2" w:space="0"/>
            </w:tcBorders>
          </w:tcPr>
          <w:p w14:paraId="2E1F2FBC">
            <w:pPr>
              <w:spacing w:before="100" w:line="226" w:lineRule="auto"/>
              <w:ind w:left="1311"/>
              <w:rPr>
                <w:rFonts w:hint="eastAsia" w:ascii="宋体" w:hAnsi="宋体" w:eastAsia="宋体" w:cs="宋体"/>
                <w:sz w:val="20"/>
              </w:rPr>
            </w:pPr>
            <w:r>
              <w:rPr>
                <w:rFonts w:ascii="宋体" w:hAnsi="宋体" w:eastAsia="宋体" w:cs="宋体"/>
                <w:spacing w:val="1"/>
                <w:sz w:val="20"/>
              </w:rPr>
              <w:t>钡</w:t>
            </w:r>
          </w:p>
        </w:tc>
        <w:tc>
          <w:tcPr>
            <w:tcW w:w="2845" w:type="dxa"/>
            <w:tcBorders>
              <w:top w:val="single" w:color="000000" w:sz="2" w:space="0"/>
              <w:bottom w:val="single" w:color="000000" w:sz="2" w:space="0"/>
            </w:tcBorders>
          </w:tcPr>
          <w:p w14:paraId="7D771A2E">
            <w:pPr>
              <w:spacing w:before="150" w:line="195" w:lineRule="auto"/>
              <w:ind w:left="1313"/>
              <w:rPr>
                <w:rFonts w:eastAsia="Times New Roman"/>
                <w:sz w:val="20"/>
              </w:rPr>
            </w:pPr>
            <w:r>
              <w:rPr>
                <w:rFonts w:eastAsia="Times New Roman"/>
                <w:spacing w:val="3"/>
                <w:sz w:val="20"/>
              </w:rPr>
              <w:t>2</w:t>
            </w:r>
            <w:r>
              <w:rPr>
                <w:rFonts w:eastAsia="Times New Roman"/>
                <w:spacing w:val="2"/>
                <w:sz w:val="20"/>
              </w:rPr>
              <w:t>5</w:t>
            </w:r>
          </w:p>
        </w:tc>
      </w:tr>
      <w:tr w14:paraId="697597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2845" w:type="dxa"/>
            <w:tcBorders>
              <w:top w:val="single" w:color="000000" w:sz="2" w:space="0"/>
              <w:bottom w:val="single" w:color="000000" w:sz="2" w:space="0"/>
            </w:tcBorders>
          </w:tcPr>
          <w:p w14:paraId="3DDCEAD3">
            <w:pPr>
              <w:spacing w:before="150" w:line="195" w:lineRule="auto"/>
              <w:ind w:left="1375"/>
              <w:rPr>
                <w:rFonts w:eastAsia="Times New Roman"/>
                <w:sz w:val="20"/>
              </w:rPr>
            </w:pPr>
            <w:r>
              <w:rPr>
                <w:rFonts w:eastAsia="Times New Roman"/>
                <w:sz w:val="20"/>
              </w:rPr>
              <w:t>8</w:t>
            </w:r>
          </w:p>
        </w:tc>
        <w:tc>
          <w:tcPr>
            <w:tcW w:w="2836" w:type="dxa"/>
            <w:tcBorders>
              <w:top w:val="single" w:color="000000" w:sz="2" w:space="0"/>
              <w:bottom w:val="single" w:color="000000" w:sz="2" w:space="0"/>
            </w:tcBorders>
          </w:tcPr>
          <w:p w14:paraId="5F29741F">
            <w:pPr>
              <w:spacing w:before="100" w:line="226" w:lineRule="auto"/>
              <w:ind w:left="1311"/>
              <w:rPr>
                <w:rFonts w:hint="eastAsia" w:ascii="宋体" w:hAnsi="宋体" w:eastAsia="宋体" w:cs="宋体"/>
                <w:sz w:val="20"/>
              </w:rPr>
            </w:pPr>
            <w:r>
              <w:rPr>
                <w:rFonts w:ascii="宋体" w:hAnsi="宋体" w:eastAsia="宋体" w:cs="宋体"/>
                <w:spacing w:val="1"/>
                <w:sz w:val="20"/>
              </w:rPr>
              <w:t>镍</w:t>
            </w:r>
          </w:p>
        </w:tc>
        <w:tc>
          <w:tcPr>
            <w:tcW w:w="2845" w:type="dxa"/>
            <w:tcBorders>
              <w:top w:val="single" w:color="000000" w:sz="2" w:space="0"/>
              <w:bottom w:val="single" w:color="000000" w:sz="2" w:space="0"/>
            </w:tcBorders>
          </w:tcPr>
          <w:p w14:paraId="5458B070">
            <w:pPr>
              <w:spacing w:before="150" w:line="195" w:lineRule="auto"/>
              <w:ind w:left="1290"/>
              <w:rPr>
                <w:rFonts w:eastAsia="Times New Roman"/>
                <w:sz w:val="20"/>
              </w:rPr>
            </w:pPr>
            <w:r>
              <w:rPr>
                <w:rFonts w:eastAsia="Times New Roman"/>
                <w:spacing w:val="4"/>
                <w:sz w:val="20"/>
              </w:rPr>
              <w:t>0</w:t>
            </w:r>
            <w:r>
              <w:rPr>
                <w:rFonts w:eastAsia="Times New Roman"/>
                <w:spacing w:val="3"/>
                <w:sz w:val="20"/>
              </w:rPr>
              <w:t>.5</w:t>
            </w:r>
          </w:p>
        </w:tc>
      </w:tr>
      <w:tr w14:paraId="57F891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2845" w:type="dxa"/>
            <w:tcBorders>
              <w:top w:val="single" w:color="000000" w:sz="2" w:space="0"/>
              <w:bottom w:val="single" w:color="000000" w:sz="2" w:space="0"/>
            </w:tcBorders>
          </w:tcPr>
          <w:p w14:paraId="5F326ED3">
            <w:pPr>
              <w:spacing w:before="150" w:line="195" w:lineRule="auto"/>
              <w:ind w:left="1370"/>
              <w:rPr>
                <w:rFonts w:eastAsia="Times New Roman"/>
                <w:sz w:val="20"/>
              </w:rPr>
            </w:pPr>
            <w:r>
              <w:rPr>
                <w:rFonts w:eastAsia="Times New Roman"/>
                <w:sz w:val="20"/>
              </w:rPr>
              <w:t>9</w:t>
            </w:r>
          </w:p>
        </w:tc>
        <w:tc>
          <w:tcPr>
            <w:tcW w:w="2836" w:type="dxa"/>
            <w:tcBorders>
              <w:top w:val="single" w:color="000000" w:sz="2" w:space="0"/>
              <w:bottom w:val="single" w:color="000000" w:sz="2" w:space="0"/>
            </w:tcBorders>
          </w:tcPr>
          <w:p w14:paraId="2CD27F34">
            <w:pPr>
              <w:spacing w:before="98" w:line="228" w:lineRule="auto"/>
              <w:ind w:left="1311"/>
              <w:rPr>
                <w:rFonts w:hint="eastAsia" w:ascii="宋体" w:hAnsi="宋体" w:eastAsia="宋体" w:cs="宋体"/>
                <w:sz w:val="20"/>
              </w:rPr>
            </w:pPr>
            <w:r>
              <w:rPr>
                <w:rFonts w:ascii="宋体" w:hAnsi="宋体" w:eastAsia="宋体" w:cs="宋体"/>
                <w:spacing w:val="1"/>
                <w:sz w:val="20"/>
              </w:rPr>
              <w:t>砷</w:t>
            </w:r>
          </w:p>
        </w:tc>
        <w:tc>
          <w:tcPr>
            <w:tcW w:w="2845" w:type="dxa"/>
            <w:tcBorders>
              <w:top w:val="single" w:color="000000" w:sz="2" w:space="0"/>
              <w:bottom w:val="single" w:color="000000" w:sz="2" w:space="0"/>
            </w:tcBorders>
          </w:tcPr>
          <w:p w14:paraId="2266AC9C">
            <w:pPr>
              <w:spacing w:before="151" w:line="195" w:lineRule="auto"/>
              <w:ind w:left="1290"/>
              <w:rPr>
                <w:rFonts w:eastAsia="Times New Roman"/>
                <w:sz w:val="20"/>
              </w:rPr>
            </w:pPr>
            <w:r>
              <w:rPr>
                <w:rFonts w:eastAsia="Times New Roman"/>
                <w:spacing w:val="3"/>
                <w:sz w:val="20"/>
              </w:rPr>
              <w:t>0.3</w:t>
            </w:r>
          </w:p>
        </w:tc>
      </w:tr>
      <w:tr w14:paraId="0CB55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845" w:type="dxa"/>
            <w:tcBorders>
              <w:top w:val="single" w:color="000000" w:sz="2" w:space="0"/>
              <w:bottom w:val="single" w:color="000000" w:sz="2" w:space="0"/>
            </w:tcBorders>
          </w:tcPr>
          <w:p w14:paraId="75EFB146">
            <w:pPr>
              <w:spacing w:before="151" w:line="190" w:lineRule="auto"/>
              <w:ind w:left="1334"/>
              <w:rPr>
                <w:rFonts w:eastAsia="Times New Roman"/>
                <w:sz w:val="20"/>
              </w:rPr>
            </w:pPr>
            <w:r>
              <w:rPr>
                <w:rFonts w:eastAsia="Times New Roman"/>
                <w:spacing w:val="-8"/>
                <w:sz w:val="20"/>
              </w:rPr>
              <w:t>1</w:t>
            </w:r>
            <w:r>
              <w:rPr>
                <w:rFonts w:eastAsia="Times New Roman"/>
                <w:spacing w:val="-7"/>
                <w:sz w:val="20"/>
              </w:rPr>
              <w:t>0</w:t>
            </w:r>
          </w:p>
        </w:tc>
        <w:tc>
          <w:tcPr>
            <w:tcW w:w="2836" w:type="dxa"/>
            <w:tcBorders>
              <w:top w:val="single" w:color="000000" w:sz="2" w:space="0"/>
              <w:bottom w:val="single" w:color="000000" w:sz="2" w:space="0"/>
            </w:tcBorders>
          </w:tcPr>
          <w:p w14:paraId="0770D0DB">
            <w:pPr>
              <w:spacing w:before="98" w:line="217" w:lineRule="auto"/>
              <w:ind w:left="1212"/>
              <w:rPr>
                <w:rFonts w:hint="eastAsia" w:ascii="宋体" w:hAnsi="宋体" w:eastAsia="宋体" w:cs="宋体"/>
                <w:sz w:val="20"/>
              </w:rPr>
            </w:pPr>
            <w:r>
              <w:rPr>
                <w:rFonts w:ascii="宋体" w:hAnsi="宋体" w:eastAsia="宋体" w:cs="宋体"/>
                <w:spacing w:val="2"/>
                <w:sz w:val="20"/>
              </w:rPr>
              <w:t>总铬</w:t>
            </w:r>
          </w:p>
        </w:tc>
        <w:tc>
          <w:tcPr>
            <w:tcW w:w="2845" w:type="dxa"/>
            <w:tcBorders>
              <w:top w:val="single" w:color="000000" w:sz="2" w:space="0"/>
              <w:bottom w:val="single" w:color="000000" w:sz="2" w:space="0"/>
            </w:tcBorders>
          </w:tcPr>
          <w:p w14:paraId="0E090FF1">
            <w:pPr>
              <w:spacing w:before="151" w:line="190" w:lineRule="auto"/>
              <w:ind w:left="1286"/>
              <w:rPr>
                <w:rFonts w:eastAsia="Times New Roman"/>
                <w:sz w:val="20"/>
              </w:rPr>
            </w:pPr>
            <w:r>
              <w:rPr>
                <w:rFonts w:eastAsia="Times New Roman"/>
                <w:spacing w:val="5"/>
                <w:sz w:val="20"/>
              </w:rPr>
              <w:t>4 5</w:t>
            </w:r>
          </w:p>
        </w:tc>
      </w:tr>
      <w:tr w14:paraId="612B44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trPr>
        <w:tc>
          <w:tcPr>
            <w:tcW w:w="2845" w:type="dxa"/>
            <w:tcBorders>
              <w:top w:val="single" w:color="000000" w:sz="2" w:space="0"/>
              <w:bottom w:val="single" w:color="000000" w:sz="2" w:space="0"/>
            </w:tcBorders>
          </w:tcPr>
          <w:p w14:paraId="23809561">
            <w:pPr>
              <w:spacing w:before="160" w:line="195" w:lineRule="auto"/>
              <w:ind w:left="1334"/>
              <w:rPr>
                <w:rFonts w:eastAsia="Times New Roman"/>
                <w:sz w:val="20"/>
              </w:rPr>
            </w:pPr>
            <w:r>
              <w:rPr>
                <w:rFonts w:eastAsia="Times New Roman"/>
                <w:spacing w:val="-8"/>
                <w:sz w:val="20"/>
              </w:rPr>
              <w:t>1</w:t>
            </w:r>
            <w:r>
              <w:rPr>
                <w:rFonts w:eastAsia="Times New Roman"/>
                <w:spacing w:val="-7"/>
                <w:sz w:val="20"/>
              </w:rPr>
              <w:t>1</w:t>
            </w:r>
          </w:p>
        </w:tc>
        <w:tc>
          <w:tcPr>
            <w:tcW w:w="2836" w:type="dxa"/>
            <w:tcBorders>
              <w:top w:val="single" w:color="000000" w:sz="2" w:space="0"/>
              <w:bottom w:val="single" w:color="000000" w:sz="2" w:space="0"/>
            </w:tcBorders>
          </w:tcPr>
          <w:p w14:paraId="16EF5EFE">
            <w:pPr>
              <w:spacing w:before="110" w:line="226" w:lineRule="auto"/>
              <w:ind w:left="1105"/>
              <w:rPr>
                <w:rFonts w:hint="eastAsia" w:ascii="宋体" w:hAnsi="宋体" w:eastAsia="宋体" w:cs="宋体"/>
                <w:sz w:val="20"/>
              </w:rPr>
            </w:pPr>
            <w:r>
              <w:rPr>
                <w:rFonts w:ascii="宋体" w:hAnsi="宋体" w:eastAsia="宋体" w:cs="宋体"/>
                <w:spacing w:val="7"/>
                <w:sz w:val="20"/>
              </w:rPr>
              <w:t>六</w:t>
            </w:r>
            <w:r>
              <w:rPr>
                <w:rFonts w:ascii="宋体" w:hAnsi="宋体" w:eastAsia="宋体" w:cs="宋体"/>
                <w:spacing w:val="6"/>
                <w:sz w:val="20"/>
              </w:rPr>
              <w:t>价铬</w:t>
            </w:r>
          </w:p>
        </w:tc>
        <w:tc>
          <w:tcPr>
            <w:tcW w:w="2845" w:type="dxa"/>
            <w:tcBorders>
              <w:top w:val="single" w:color="000000" w:sz="2" w:space="0"/>
              <w:bottom w:val="single" w:color="000000" w:sz="2" w:space="0"/>
            </w:tcBorders>
          </w:tcPr>
          <w:p w14:paraId="781BE4F3">
            <w:pPr>
              <w:spacing w:before="160" w:line="198" w:lineRule="auto"/>
              <w:ind w:left="1307"/>
              <w:rPr>
                <w:rFonts w:eastAsia="Times New Roman"/>
                <w:sz w:val="20"/>
              </w:rPr>
            </w:pPr>
            <w:r>
              <w:rPr>
                <w:rFonts w:eastAsia="Times New Roman"/>
                <w:spacing w:val="-3"/>
                <w:sz w:val="20"/>
              </w:rPr>
              <w:t>1</w:t>
            </w:r>
            <w:r>
              <w:rPr>
                <w:rFonts w:eastAsia="Times New Roman"/>
                <w:spacing w:val="-2"/>
                <w:sz w:val="20"/>
              </w:rPr>
              <w:t>.5</w:t>
            </w:r>
          </w:p>
        </w:tc>
      </w:tr>
    </w:tbl>
    <w:p w14:paraId="53F75BC5">
      <w:pPr>
        <w:rPr>
          <w:rFonts w:ascii="Arial"/>
          <w:sz w:val="21"/>
        </w:rPr>
      </w:pPr>
    </w:p>
    <w:p w14:paraId="53887F1D">
      <w:pPr>
        <w:sectPr>
          <w:pgSz w:w="11906" w:h="16839"/>
          <w:pgMar w:top="1431" w:right="1682" w:bottom="0" w:left="1682" w:header="0" w:footer="0" w:gutter="0"/>
          <w:cols w:space="720" w:num="1"/>
        </w:sectPr>
      </w:pPr>
    </w:p>
    <w:p w14:paraId="3681609D">
      <w:pPr>
        <w:spacing w:before="151" w:line="344" w:lineRule="auto"/>
        <w:ind w:left="560" w:right="123" w:hanging="422"/>
        <w:rPr>
          <w:rFonts w:hint="eastAsia" w:ascii="宋体" w:hAnsi="宋体" w:eastAsia="宋体" w:cs="宋体"/>
          <w:sz w:val="20"/>
        </w:rPr>
      </w:pPr>
      <w:r>
        <w:rPr>
          <w:rFonts w:eastAsia="Times New Roman"/>
          <w:spacing w:val="4"/>
          <w:sz w:val="20"/>
        </w:rPr>
        <w:t>5.</w:t>
      </w:r>
      <w:r>
        <w:rPr>
          <w:rFonts w:ascii="宋体" w:hAnsi="宋体" w:eastAsia="宋体" w:cs="宋体"/>
          <w:spacing w:val="4"/>
          <w:sz w:val="20"/>
        </w:rPr>
        <w:t xml:space="preserve">吨袋执行 </w:t>
      </w:r>
      <w:r>
        <w:rPr>
          <w:rFonts w:eastAsia="Times New Roman"/>
          <w:sz w:val="20"/>
        </w:rPr>
        <w:t>GB</w:t>
      </w:r>
      <w:r>
        <w:rPr>
          <w:rFonts w:eastAsia="Times New Roman"/>
          <w:spacing w:val="4"/>
          <w:sz w:val="20"/>
        </w:rPr>
        <w:t>/</w:t>
      </w:r>
      <w:r>
        <w:rPr>
          <w:rFonts w:eastAsia="Times New Roman"/>
          <w:sz w:val="20"/>
        </w:rPr>
        <w:t>T</w:t>
      </w:r>
      <w:r>
        <w:rPr>
          <w:rFonts w:eastAsia="Times New Roman"/>
          <w:spacing w:val="4"/>
          <w:sz w:val="20"/>
        </w:rPr>
        <w:t xml:space="preserve">10454--2000 </w:t>
      </w:r>
      <w:r>
        <w:rPr>
          <w:rFonts w:ascii="宋体" w:hAnsi="宋体" w:eastAsia="宋体" w:cs="宋体"/>
          <w:spacing w:val="4"/>
          <w:sz w:val="20"/>
        </w:rPr>
        <w:t xml:space="preserve">标准，规格 </w:t>
      </w:r>
      <w:r>
        <w:rPr>
          <w:rFonts w:eastAsia="Times New Roman"/>
          <w:spacing w:val="4"/>
          <w:sz w:val="20"/>
        </w:rPr>
        <w:t>900</w:t>
      </w:r>
      <w:r>
        <w:rPr>
          <w:rFonts w:eastAsia="Times New Roman"/>
          <w:sz w:val="20"/>
        </w:rPr>
        <w:t>mm</w:t>
      </w:r>
      <w:r>
        <w:rPr>
          <w:rFonts w:eastAsia="Times New Roman"/>
          <w:spacing w:val="4"/>
          <w:sz w:val="20"/>
        </w:rPr>
        <w:t>×900</w:t>
      </w:r>
      <w:r>
        <w:rPr>
          <w:rFonts w:eastAsia="Times New Roman"/>
          <w:sz w:val="20"/>
        </w:rPr>
        <w:t>mm</w:t>
      </w:r>
      <w:r>
        <w:rPr>
          <w:rFonts w:eastAsia="Times New Roman"/>
          <w:spacing w:val="4"/>
          <w:sz w:val="20"/>
        </w:rPr>
        <w:t>×1100</w:t>
      </w:r>
      <w:r>
        <w:rPr>
          <w:rFonts w:eastAsia="Times New Roman"/>
          <w:sz w:val="20"/>
        </w:rPr>
        <w:t>mm</w:t>
      </w:r>
      <w:r>
        <w:rPr>
          <w:rFonts w:ascii="宋体" w:hAnsi="宋体" w:eastAsia="宋体" w:cs="宋体"/>
          <w:spacing w:val="4"/>
          <w:sz w:val="20"/>
        </w:rPr>
        <w:t>，筒形兜底，上</w:t>
      </w:r>
      <w:r>
        <w:rPr>
          <w:rFonts w:ascii="宋体" w:hAnsi="宋体" w:eastAsia="宋体" w:cs="宋体"/>
          <w:spacing w:val="3"/>
          <w:sz w:val="20"/>
        </w:rPr>
        <w:t>下</w:t>
      </w:r>
      <w:r>
        <w:rPr>
          <w:rFonts w:ascii="宋体" w:hAnsi="宋体" w:eastAsia="宋体" w:cs="宋体"/>
          <w:sz w:val="20"/>
        </w:rPr>
        <w:t xml:space="preserve">进出 </w:t>
      </w:r>
      <w:r>
        <w:rPr>
          <w:rFonts w:ascii="宋体" w:hAnsi="宋体" w:eastAsia="宋体" w:cs="宋体"/>
          <w:spacing w:val="14"/>
          <w:sz w:val="20"/>
        </w:rPr>
        <w:t>料</w:t>
      </w:r>
      <w:r>
        <w:rPr>
          <w:rFonts w:ascii="宋体" w:hAnsi="宋体" w:eastAsia="宋体" w:cs="宋体"/>
          <w:spacing w:val="8"/>
          <w:sz w:val="20"/>
        </w:rPr>
        <w:t>口</w:t>
      </w:r>
      <w:r>
        <w:rPr>
          <w:rFonts w:ascii="宋体" w:hAnsi="宋体" w:eastAsia="宋体" w:cs="宋体"/>
          <w:spacing w:val="7"/>
          <w:sz w:val="20"/>
        </w:rPr>
        <w:t>，有内衬 (塑料薄膜) 。</w:t>
      </w:r>
    </w:p>
    <w:p w14:paraId="1C644227">
      <w:pPr>
        <w:spacing w:before="214" w:line="228" w:lineRule="auto"/>
        <w:ind w:left="142"/>
        <w:rPr>
          <w:rFonts w:eastAsia="Times New Roman"/>
          <w:spacing w:val="5"/>
          <w:sz w:val="20"/>
        </w:rPr>
      </w:pPr>
      <w:r>
        <w:rPr>
          <w:rFonts w:eastAsia="Times New Roman"/>
          <w:spacing w:val="5"/>
          <w:sz w:val="20"/>
        </w:rPr>
        <w:t>6.飞灰固化螯合物上限值限定为入厂垃圾量的 3.338% ，超出部分甲方不予结算。</w:t>
      </w:r>
    </w:p>
    <w:p w14:paraId="4D4A80D9">
      <w:pPr>
        <w:spacing w:before="214" w:line="228" w:lineRule="auto"/>
        <w:ind w:left="142"/>
        <w:rPr>
          <w:rFonts w:eastAsia="Times New Roman"/>
          <w:spacing w:val="5"/>
          <w:sz w:val="20"/>
        </w:rPr>
      </w:pPr>
      <w:r>
        <w:rPr>
          <w:rFonts w:hint="eastAsia" w:eastAsia="Times New Roman"/>
          <w:spacing w:val="5"/>
          <w:sz w:val="20"/>
        </w:rPr>
        <w:t>7.飞灰样品定期检测要求：有资质的第三方检测机构进行监测；含水率与浸出液检测每月一次，二噁英检测每季度一次。甲方可根据自检情况，调整乙方检测频次。</w:t>
      </w:r>
    </w:p>
    <w:p w14:paraId="3E3DE4E4">
      <w:pPr>
        <w:spacing w:before="214" w:line="228" w:lineRule="auto"/>
        <w:ind w:left="142"/>
        <w:rPr>
          <w:rFonts w:eastAsia="Times New Roman"/>
          <w:spacing w:val="5"/>
          <w:sz w:val="20"/>
        </w:rPr>
      </w:pPr>
      <w:r>
        <w:rPr>
          <w:rFonts w:hint="eastAsia" w:eastAsia="Times New Roman"/>
          <w:spacing w:val="5"/>
          <w:sz w:val="20"/>
        </w:rPr>
        <w:t>8.取样要求：取样样品为混合样，随机抽取3天，3袋以上的混合样作为检测样品。</w:t>
      </w:r>
    </w:p>
    <w:p w14:paraId="6782D36C">
      <w:pPr>
        <w:spacing w:before="214" w:line="228" w:lineRule="auto"/>
        <w:ind w:left="142"/>
        <w:rPr>
          <w:rFonts w:eastAsia="Times New Roman"/>
          <w:spacing w:val="5"/>
          <w:sz w:val="20"/>
        </w:rPr>
      </w:pPr>
      <w:r>
        <w:rPr>
          <w:rFonts w:hint="eastAsia" w:eastAsia="Times New Roman"/>
          <w:spacing w:val="5"/>
          <w:sz w:val="20"/>
        </w:rPr>
        <w:t>9.甲方自检、委外检测、乙方自检等检测不合格的飞灰批次，需要重新螯合处置，直至符合质量要求，过程相关费用由乙方自理。</w:t>
      </w:r>
    </w:p>
    <w:p w14:paraId="20F5B2D9">
      <w:pPr>
        <w:spacing w:before="217" w:line="265" w:lineRule="exact"/>
        <w:ind w:left="136"/>
        <w:outlineLvl w:val="0"/>
        <w:rPr>
          <w:rFonts w:hint="eastAsia" w:ascii="宋体" w:hAnsi="宋体" w:eastAsia="宋体" w:cs="宋体"/>
          <w:sz w:val="20"/>
        </w:rPr>
      </w:pPr>
      <w:r>
        <w:rPr>
          <w:rFonts w:ascii="宋体" w:hAnsi="宋体" w:eastAsia="宋体" w:cs="宋体"/>
          <w:spacing w:val="9"/>
          <w:position w:val="1"/>
          <w:sz w:val="20"/>
          <w14:textOutline w14:w="3797" w14:cap="sq" w14:cmpd="sng" w14:algn="ctr">
            <w14:solidFill>
              <w14:srgbClr w14:val="000000"/>
            </w14:solidFill>
            <w14:prstDash w14:val="solid"/>
            <w14:bevel/>
          </w14:textOutline>
        </w:rPr>
        <w:t>三、定编人数及岗位安排</w:t>
      </w:r>
      <w:r>
        <w:rPr>
          <w:rFonts w:ascii="宋体" w:hAnsi="宋体" w:eastAsia="宋体" w:cs="宋体"/>
          <w:spacing w:val="8"/>
          <w:position w:val="1"/>
          <w:sz w:val="20"/>
          <w14:textOutline w14:w="3797" w14:cap="sq" w14:cmpd="sng" w14:algn="ctr">
            <w14:solidFill>
              <w14:srgbClr w14:val="000000"/>
            </w14:solidFill>
            <w14:prstDash w14:val="solid"/>
            <w14:bevel/>
          </w14:textOutline>
        </w:rPr>
        <w:t>：</w:t>
      </w:r>
    </w:p>
    <w:p w14:paraId="0CDAF5CB">
      <w:pPr>
        <w:spacing w:before="157" w:line="432" w:lineRule="auto"/>
        <w:ind w:left="564" w:right="57" w:hanging="418"/>
        <w:rPr>
          <w:rFonts w:hint="eastAsia" w:ascii="宋体" w:hAnsi="宋体" w:eastAsia="宋体" w:cs="宋体"/>
          <w:sz w:val="20"/>
        </w:rPr>
      </w:pPr>
      <w:r>
        <w:rPr>
          <w:rFonts w:ascii="Calibri" w:hAnsi="Calibri" w:eastAsia="Calibri" w:cs="Calibri"/>
          <w:spacing w:val="10"/>
          <w:sz w:val="20"/>
        </w:rPr>
        <w:t>1.</w:t>
      </w:r>
      <w:r>
        <w:rPr>
          <w:rFonts w:ascii="宋体" w:hAnsi="宋体" w:eastAsia="宋体" w:cs="宋体"/>
          <w:spacing w:val="6"/>
          <w:sz w:val="20"/>
        </w:rPr>
        <w:t>根</w:t>
      </w:r>
      <w:r>
        <w:rPr>
          <w:rFonts w:ascii="宋体" w:hAnsi="宋体" w:eastAsia="宋体" w:cs="宋体"/>
          <w:spacing w:val="5"/>
          <w:sz w:val="20"/>
        </w:rPr>
        <w:t xml:space="preserve">据本项目实际情况，暂定实行一班运转工作，人员配置按暂定工作时间为 </w:t>
      </w:r>
      <w:r>
        <w:rPr>
          <w:rFonts w:eastAsia="Times New Roman"/>
          <w:spacing w:val="5"/>
          <w:sz w:val="20"/>
        </w:rPr>
        <w:t xml:space="preserve">8 </w:t>
      </w:r>
      <w:r>
        <w:rPr>
          <w:rFonts w:ascii="宋体" w:hAnsi="宋体" w:eastAsia="宋体" w:cs="宋体"/>
          <w:spacing w:val="5"/>
          <w:sz w:val="20"/>
        </w:rPr>
        <w:t>小时</w:t>
      </w:r>
      <w:r>
        <w:rPr>
          <w:rFonts w:eastAsia="Times New Roman"/>
          <w:spacing w:val="5"/>
          <w:sz w:val="20"/>
        </w:rPr>
        <w:t>/</w:t>
      </w:r>
      <w:r>
        <w:rPr>
          <w:rFonts w:ascii="宋体" w:hAnsi="宋体" w:eastAsia="宋体" w:cs="宋体"/>
          <w:spacing w:val="5"/>
          <w:sz w:val="20"/>
        </w:rPr>
        <w:t>天。</w:t>
      </w:r>
      <w:r>
        <w:rPr>
          <w:rFonts w:ascii="宋体" w:hAnsi="宋体" w:eastAsia="宋体" w:cs="宋体"/>
          <w:sz w:val="20"/>
        </w:rPr>
        <w:t xml:space="preserve"> </w:t>
      </w:r>
      <w:r>
        <w:rPr>
          <w:rFonts w:ascii="宋体" w:hAnsi="宋体" w:eastAsia="宋体" w:cs="宋体"/>
          <w:spacing w:val="16"/>
          <w:sz w:val="20"/>
        </w:rPr>
        <w:t>如</w:t>
      </w:r>
      <w:r>
        <w:rPr>
          <w:rFonts w:ascii="宋体" w:hAnsi="宋体" w:eastAsia="宋体" w:cs="宋体"/>
          <w:spacing w:val="9"/>
          <w:sz w:val="20"/>
        </w:rPr>
        <w:t>因堵灰、设备故障需要加班的，乙方应调配增加工作人员进行倒班。</w:t>
      </w:r>
    </w:p>
    <w:p w14:paraId="471420BF">
      <w:pPr>
        <w:spacing w:line="113" w:lineRule="exact"/>
      </w:pPr>
    </w:p>
    <w:tbl>
      <w:tblPr>
        <w:tblStyle w:val="124"/>
        <w:tblW w:w="8537"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6"/>
        <w:gridCol w:w="1131"/>
        <w:gridCol w:w="2662"/>
        <w:gridCol w:w="2114"/>
        <w:gridCol w:w="1454"/>
      </w:tblGrid>
      <w:tr w14:paraId="2CC170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176" w:type="dxa"/>
            <w:tcBorders>
              <w:left w:val="single" w:color="000000" w:sz="10" w:space="0"/>
            </w:tcBorders>
          </w:tcPr>
          <w:p w14:paraId="6A391B79">
            <w:pPr>
              <w:spacing w:line="345" w:lineRule="auto"/>
              <w:rPr>
                <w:rFonts w:ascii="Arial"/>
                <w:sz w:val="21"/>
              </w:rPr>
            </w:pPr>
          </w:p>
          <w:p w14:paraId="2BDFD3DD">
            <w:pPr>
              <w:spacing w:before="56" w:line="231" w:lineRule="auto"/>
              <w:ind w:left="418"/>
              <w:rPr>
                <w:rFonts w:hint="eastAsia" w:ascii="宋体" w:hAnsi="宋体" w:eastAsia="宋体" w:cs="宋体"/>
                <w:sz w:val="17"/>
                <w:szCs w:val="17"/>
              </w:rPr>
            </w:pPr>
            <w:r>
              <w:rPr>
                <w:rFonts w:ascii="宋体" w:hAnsi="宋体" w:eastAsia="宋体" w:cs="宋体"/>
                <w:spacing w:val="-4"/>
                <w:sz w:val="17"/>
                <w:szCs w:val="17"/>
              </w:rPr>
              <w:t>岗</w:t>
            </w:r>
            <w:r>
              <w:rPr>
                <w:rFonts w:ascii="宋体" w:hAnsi="宋体" w:eastAsia="宋体" w:cs="宋体"/>
                <w:spacing w:val="-3"/>
                <w:sz w:val="17"/>
                <w:szCs w:val="17"/>
              </w:rPr>
              <w:t>位</w:t>
            </w:r>
          </w:p>
        </w:tc>
        <w:tc>
          <w:tcPr>
            <w:tcW w:w="1131" w:type="dxa"/>
          </w:tcPr>
          <w:p w14:paraId="44CF9622">
            <w:pPr>
              <w:spacing w:line="345" w:lineRule="auto"/>
              <w:rPr>
                <w:rFonts w:ascii="Arial"/>
                <w:sz w:val="21"/>
              </w:rPr>
            </w:pPr>
          </w:p>
          <w:p w14:paraId="6ABF6FD0">
            <w:pPr>
              <w:spacing w:before="56" w:line="231" w:lineRule="auto"/>
              <w:ind w:left="204"/>
              <w:rPr>
                <w:rFonts w:hint="eastAsia" w:ascii="宋体" w:hAnsi="宋体" w:eastAsia="宋体" w:cs="宋体"/>
                <w:sz w:val="17"/>
                <w:szCs w:val="17"/>
              </w:rPr>
            </w:pPr>
            <w:r>
              <w:rPr>
                <w:rFonts w:ascii="宋体" w:hAnsi="宋体" w:eastAsia="宋体" w:cs="宋体"/>
                <w:spacing w:val="9"/>
                <w:sz w:val="17"/>
                <w:szCs w:val="17"/>
              </w:rPr>
              <w:t>项</w:t>
            </w:r>
            <w:r>
              <w:rPr>
                <w:rFonts w:ascii="宋体" w:hAnsi="宋体" w:eastAsia="宋体" w:cs="宋体"/>
                <w:spacing w:val="7"/>
                <w:sz w:val="17"/>
                <w:szCs w:val="17"/>
              </w:rPr>
              <w:t>目经理</w:t>
            </w:r>
          </w:p>
        </w:tc>
        <w:tc>
          <w:tcPr>
            <w:tcW w:w="2662" w:type="dxa"/>
          </w:tcPr>
          <w:p w14:paraId="4D317A1E">
            <w:pPr>
              <w:spacing w:before="168" w:line="468" w:lineRule="exact"/>
              <w:ind w:left="259"/>
              <w:rPr>
                <w:rFonts w:hint="eastAsia" w:ascii="宋体" w:hAnsi="宋体" w:eastAsia="宋体" w:cs="宋体"/>
                <w:sz w:val="17"/>
                <w:szCs w:val="17"/>
              </w:rPr>
            </w:pPr>
            <w:r>
              <w:rPr>
                <w:rFonts w:ascii="宋体" w:hAnsi="宋体" w:eastAsia="宋体" w:cs="宋体"/>
                <w:spacing w:val="9"/>
                <w:position w:val="22"/>
                <w:sz w:val="17"/>
                <w:szCs w:val="17"/>
              </w:rPr>
              <w:t>飞灰稳定化操作、设备维</w:t>
            </w:r>
            <w:r>
              <w:rPr>
                <w:rFonts w:ascii="宋体" w:hAnsi="宋体" w:eastAsia="宋体" w:cs="宋体"/>
                <w:spacing w:val="8"/>
                <w:position w:val="22"/>
                <w:sz w:val="17"/>
                <w:szCs w:val="17"/>
              </w:rPr>
              <w:t>护</w:t>
            </w:r>
          </w:p>
          <w:p w14:paraId="7E26BEE4">
            <w:pPr>
              <w:spacing w:line="230" w:lineRule="auto"/>
              <w:ind w:left="987"/>
              <w:rPr>
                <w:rFonts w:hint="eastAsia" w:ascii="宋体" w:hAnsi="宋体" w:eastAsia="宋体" w:cs="宋体"/>
                <w:sz w:val="17"/>
                <w:szCs w:val="17"/>
              </w:rPr>
            </w:pPr>
            <w:r>
              <w:rPr>
                <w:rFonts w:ascii="宋体" w:hAnsi="宋体" w:eastAsia="宋体" w:cs="宋体"/>
                <w:spacing w:val="5"/>
                <w:sz w:val="17"/>
                <w:szCs w:val="17"/>
              </w:rPr>
              <w:t>区域卫</w:t>
            </w:r>
            <w:r>
              <w:rPr>
                <w:rFonts w:ascii="宋体" w:hAnsi="宋体" w:eastAsia="宋体" w:cs="宋体"/>
                <w:spacing w:val="4"/>
                <w:sz w:val="17"/>
                <w:szCs w:val="17"/>
              </w:rPr>
              <w:t>生</w:t>
            </w:r>
          </w:p>
        </w:tc>
        <w:tc>
          <w:tcPr>
            <w:tcW w:w="2114" w:type="dxa"/>
          </w:tcPr>
          <w:p w14:paraId="2F76238B">
            <w:pPr>
              <w:spacing w:before="168" w:line="468" w:lineRule="exact"/>
              <w:ind w:left="441"/>
              <w:rPr>
                <w:rFonts w:hint="eastAsia" w:ascii="宋体" w:hAnsi="宋体" w:eastAsia="宋体" w:cs="宋体"/>
                <w:sz w:val="17"/>
                <w:szCs w:val="17"/>
              </w:rPr>
            </w:pPr>
            <w:r>
              <w:rPr>
                <w:rFonts w:ascii="宋体" w:hAnsi="宋体" w:eastAsia="宋体" w:cs="宋体"/>
                <w:spacing w:val="9"/>
                <w:position w:val="22"/>
                <w:sz w:val="17"/>
                <w:szCs w:val="17"/>
              </w:rPr>
              <w:t>飞</w:t>
            </w:r>
            <w:r>
              <w:rPr>
                <w:rFonts w:ascii="宋体" w:hAnsi="宋体" w:eastAsia="宋体" w:cs="宋体"/>
                <w:spacing w:val="8"/>
                <w:position w:val="22"/>
                <w:sz w:val="17"/>
                <w:szCs w:val="17"/>
              </w:rPr>
              <w:t>灰仓转运兼职</w:t>
            </w:r>
          </w:p>
          <w:p w14:paraId="623E68EE">
            <w:pPr>
              <w:spacing w:line="229" w:lineRule="auto"/>
              <w:ind w:left="708"/>
              <w:rPr>
                <w:rFonts w:hint="eastAsia" w:ascii="宋体" w:hAnsi="宋体" w:eastAsia="宋体" w:cs="宋体"/>
                <w:sz w:val="17"/>
                <w:szCs w:val="17"/>
              </w:rPr>
            </w:pPr>
            <w:r>
              <w:rPr>
                <w:rFonts w:ascii="宋体" w:hAnsi="宋体" w:eastAsia="宋体" w:cs="宋体"/>
                <w:spacing w:val="8"/>
                <w:sz w:val="17"/>
                <w:szCs w:val="17"/>
              </w:rPr>
              <w:t>叉车司</w:t>
            </w:r>
            <w:r>
              <w:rPr>
                <w:rFonts w:ascii="宋体" w:hAnsi="宋体" w:eastAsia="宋体" w:cs="宋体"/>
                <w:spacing w:val="7"/>
                <w:sz w:val="17"/>
                <w:szCs w:val="17"/>
              </w:rPr>
              <w:t>机</w:t>
            </w:r>
          </w:p>
        </w:tc>
        <w:tc>
          <w:tcPr>
            <w:tcW w:w="1454" w:type="dxa"/>
            <w:tcBorders>
              <w:right w:val="single" w:color="000000" w:sz="10" w:space="0"/>
            </w:tcBorders>
          </w:tcPr>
          <w:p w14:paraId="0F4C5FB6">
            <w:pPr>
              <w:spacing w:line="345" w:lineRule="auto"/>
              <w:rPr>
                <w:rFonts w:ascii="Arial"/>
                <w:sz w:val="21"/>
              </w:rPr>
            </w:pPr>
          </w:p>
          <w:p w14:paraId="00007627">
            <w:pPr>
              <w:spacing w:before="55" w:line="232" w:lineRule="auto"/>
              <w:ind w:left="554"/>
              <w:rPr>
                <w:rFonts w:hint="eastAsia" w:ascii="宋体" w:hAnsi="宋体" w:eastAsia="宋体" w:cs="宋体"/>
                <w:sz w:val="17"/>
                <w:szCs w:val="17"/>
              </w:rPr>
            </w:pPr>
            <w:r>
              <w:rPr>
                <w:rFonts w:ascii="宋体" w:hAnsi="宋体" w:eastAsia="宋体" w:cs="宋体"/>
                <w:spacing w:val="6"/>
                <w:sz w:val="17"/>
                <w:szCs w:val="17"/>
              </w:rPr>
              <w:t>合计</w:t>
            </w:r>
          </w:p>
        </w:tc>
      </w:tr>
      <w:tr w14:paraId="1F0A6C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1176" w:type="dxa"/>
            <w:tcBorders>
              <w:left w:val="single" w:color="000000" w:sz="10" w:space="0"/>
            </w:tcBorders>
          </w:tcPr>
          <w:p w14:paraId="13F305A0">
            <w:pPr>
              <w:spacing w:before="242" w:line="230" w:lineRule="auto"/>
              <w:ind w:left="128"/>
              <w:rPr>
                <w:rFonts w:hint="eastAsia" w:ascii="宋体" w:hAnsi="宋体" w:eastAsia="宋体" w:cs="宋体"/>
                <w:sz w:val="17"/>
                <w:szCs w:val="17"/>
              </w:rPr>
            </w:pPr>
            <w:r>
              <w:rPr>
                <w:rFonts w:ascii="宋体" w:hAnsi="宋体" w:eastAsia="宋体" w:cs="宋体"/>
                <w:spacing w:val="6"/>
                <w:sz w:val="17"/>
                <w:szCs w:val="17"/>
              </w:rPr>
              <w:t>人</w:t>
            </w:r>
            <w:r>
              <w:rPr>
                <w:rFonts w:ascii="宋体" w:hAnsi="宋体" w:eastAsia="宋体" w:cs="宋体"/>
                <w:spacing w:val="5"/>
                <w:sz w:val="17"/>
                <w:szCs w:val="17"/>
              </w:rPr>
              <w:t>数 (人)</w:t>
            </w:r>
          </w:p>
        </w:tc>
        <w:tc>
          <w:tcPr>
            <w:tcW w:w="1131" w:type="dxa"/>
          </w:tcPr>
          <w:p w14:paraId="6D2B86EA">
            <w:pPr>
              <w:spacing w:before="273" w:line="197" w:lineRule="auto"/>
              <w:ind w:left="530"/>
              <w:rPr>
                <w:rFonts w:eastAsia="Times New Roman"/>
                <w:sz w:val="17"/>
                <w:szCs w:val="17"/>
              </w:rPr>
            </w:pPr>
            <w:r>
              <w:rPr>
                <w:rFonts w:eastAsia="Times New Roman"/>
                <w:sz w:val="17"/>
                <w:szCs w:val="17"/>
              </w:rPr>
              <w:t>1</w:t>
            </w:r>
          </w:p>
        </w:tc>
        <w:tc>
          <w:tcPr>
            <w:tcW w:w="2662" w:type="dxa"/>
          </w:tcPr>
          <w:p w14:paraId="39E3BD43">
            <w:pPr>
              <w:spacing w:before="273" w:line="197" w:lineRule="auto"/>
              <w:ind w:left="1288"/>
              <w:rPr>
                <w:rFonts w:eastAsia="Times New Roman"/>
                <w:sz w:val="17"/>
                <w:szCs w:val="17"/>
              </w:rPr>
            </w:pPr>
            <w:r>
              <w:rPr>
                <w:rFonts w:eastAsia="Times New Roman"/>
                <w:sz w:val="17"/>
                <w:szCs w:val="17"/>
              </w:rPr>
              <w:t>3</w:t>
            </w:r>
          </w:p>
        </w:tc>
        <w:tc>
          <w:tcPr>
            <w:tcW w:w="2114" w:type="dxa"/>
          </w:tcPr>
          <w:p w14:paraId="70E08FB9">
            <w:pPr>
              <w:spacing w:before="273" w:line="197" w:lineRule="auto"/>
              <w:ind w:left="1035"/>
              <w:rPr>
                <w:rFonts w:eastAsia="Times New Roman"/>
                <w:sz w:val="17"/>
                <w:szCs w:val="17"/>
              </w:rPr>
            </w:pPr>
            <w:r>
              <w:rPr>
                <w:rFonts w:eastAsia="Times New Roman"/>
                <w:sz w:val="17"/>
                <w:szCs w:val="17"/>
              </w:rPr>
              <w:t>1</w:t>
            </w:r>
          </w:p>
        </w:tc>
        <w:tc>
          <w:tcPr>
            <w:tcW w:w="1454" w:type="dxa"/>
            <w:tcBorders>
              <w:right w:val="single" w:color="000000" w:sz="10" w:space="0"/>
            </w:tcBorders>
          </w:tcPr>
          <w:p w14:paraId="71F6AAFC">
            <w:pPr>
              <w:spacing w:before="276" w:line="194" w:lineRule="auto"/>
              <w:ind w:left="692"/>
              <w:rPr>
                <w:rFonts w:eastAsia="Times New Roman"/>
                <w:sz w:val="17"/>
                <w:szCs w:val="17"/>
              </w:rPr>
            </w:pPr>
            <w:r>
              <w:rPr>
                <w:rFonts w:eastAsia="Times New Roman"/>
                <w:sz w:val="17"/>
                <w:szCs w:val="17"/>
              </w:rPr>
              <w:t>5</w:t>
            </w:r>
          </w:p>
        </w:tc>
      </w:tr>
    </w:tbl>
    <w:p w14:paraId="6DE89477">
      <w:pPr>
        <w:spacing w:before="188" w:line="425" w:lineRule="auto"/>
        <w:ind w:left="138" w:right="127" w:firstLine="419"/>
        <w:rPr>
          <w:rFonts w:hint="eastAsia" w:ascii="宋体" w:hAnsi="宋体" w:eastAsia="宋体" w:cs="宋体"/>
          <w:sz w:val="20"/>
        </w:rPr>
      </w:pPr>
      <w:r>
        <w:rPr>
          <w:rFonts w:ascii="宋体" w:hAnsi="宋体" w:eastAsia="宋体" w:cs="宋体"/>
          <w:spacing w:val="12"/>
          <w:sz w:val="20"/>
        </w:rPr>
        <w:t xml:space="preserve">其中 </w:t>
      </w:r>
      <w:r>
        <w:rPr>
          <w:rFonts w:eastAsia="Times New Roman"/>
          <w:spacing w:val="12"/>
          <w:sz w:val="20"/>
        </w:rPr>
        <w:t xml:space="preserve">1 </w:t>
      </w:r>
      <w:r>
        <w:rPr>
          <w:rFonts w:ascii="宋体" w:hAnsi="宋体" w:eastAsia="宋体" w:cs="宋体"/>
          <w:spacing w:val="7"/>
          <w:sz w:val="20"/>
        </w:rPr>
        <w:t>名</w:t>
      </w:r>
      <w:r>
        <w:rPr>
          <w:rFonts w:ascii="宋体" w:hAnsi="宋体" w:eastAsia="宋体" w:cs="宋体"/>
          <w:spacing w:val="6"/>
          <w:sz w:val="20"/>
        </w:rPr>
        <w:t>项目经理进行技术指导，</w:t>
      </w:r>
      <w:r>
        <w:rPr>
          <w:rFonts w:eastAsia="Times New Roman"/>
          <w:spacing w:val="6"/>
          <w:sz w:val="20"/>
        </w:rPr>
        <w:t xml:space="preserve">3 </w:t>
      </w:r>
      <w:r>
        <w:rPr>
          <w:rFonts w:ascii="宋体" w:hAnsi="宋体" w:eastAsia="宋体" w:cs="宋体"/>
          <w:spacing w:val="6"/>
          <w:sz w:val="20"/>
        </w:rPr>
        <w:t>名工作人员负责螯合剂卸货及日常管理，并负责飞</w:t>
      </w:r>
      <w:r>
        <w:rPr>
          <w:rFonts w:ascii="宋体" w:hAnsi="宋体" w:eastAsia="宋体" w:cs="宋体"/>
          <w:sz w:val="20"/>
        </w:rPr>
        <w:t xml:space="preserve"> </w:t>
      </w:r>
      <w:r>
        <w:rPr>
          <w:rFonts w:ascii="宋体" w:hAnsi="宋体" w:eastAsia="宋体" w:cs="宋体"/>
          <w:spacing w:val="16"/>
          <w:sz w:val="20"/>
        </w:rPr>
        <w:t>灰、</w:t>
      </w:r>
      <w:r>
        <w:rPr>
          <w:rFonts w:ascii="宋体" w:hAnsi="宋体" w:eastAsia="宋体" w:cs="宋体"/>
          <w:spacing w:val="8"/>
          <w:sz w:val="20"/>
        </w:rPr>
        <w:t>螯合剂和水添加至混炼机搅拌至卸出操作，保证达到处理要求标准。</w:t>
      </w:r>
      <w:r>
        <w:rPr>
          <w:rFonts w:eastAsia="Times New Roman"/>
          <w:spacing w:val="8"/>
          <w:sz w:val="20"/>
        </w:rPr>
        <w:t xml:space="preserve">1 </w:t>
      </w:r>
      <w:r>
        <w:rPr>
          <w:rFonts w:ascii="宋体" w:hAnsi="宋体" w:eastAsia="宋体" w:cs="宋体"/>
          <w:spacing w:val="8"/>
          <w:sz w:val="20"/>
        </w:rPr>
        <w:t>名飞灰转运人员</w:t>
      </w:r>
      <w:r>
        <w:rPr>
          <w:rFonts w:ascii="宋体" w:hAnsi="宋体" w:eastAsia="宋体" w:cs="宋体"/>
          <w:sz w:val="20"/>
        </w:rPr>
        <w:t xml:space="preserve"> </w:t>
      </w:r>
      <w:r>
        <w:rPr>
          <w:rFonts w:ascii="宋体" w:hAnsi="宋体" w:eastAsia="宋体" w:cs="宋体"/>
          <w:spacing w:val="8"/>
          <w:sz w:val="20"/>
        </w:rPr>
        <w:t>负责将飞灰转运至暂存区。</w:t>
      </w:r>
    </w:p>
    <w:p w14:paraId="0E948DAC">
      <w:pPr>
        <w:spacing w:before="1" w:line="226" w:lineRule="auto"/>
        <w:ind w:left="132"/>
        <w:rPr>
          <w:rFonts w:hint="eastAsia" w:ascii="宋体" w:hAnsi="宋体" w:eastAsia="宋体" w:cs="宋体"/>
          <w:sz w:val="20"/>
        </w:rPr>
      </w:pPr>
      <w:r>
        <w:rPr>
          <w:rFonts w:eastAsia="Times New Roman"/>
          <w:spacing w:val="12"/>
          <w:sz w:val="20"/>
        </w:rPr>
        <w:t>2.</w:t>
      </w:r>
      <w:r>
        <w:rPr>
          <w:rFonts w:ascii="宋体" w:hAnsi="宋体" w:eastAsia="宋体" w:cs="宋体"/>
          <w:spacing w:val="6"/>
          <w:sz w:val="20"/>
        </w:rPr>
        <w:t>乙方应按满足本项目飞灰固化处理工作的要求，在综合考虑项目实际情况下对人员配置</w:t>
      </w:r>
    </w:p>
    <w:p w14:paraId="740BBD72">
      <w:pPr>
        <w:spacing w:before="216" w:line="424" w:lineRule="auto"/>
        <w:ind w:left="561" w:right="127" w:hanging="2"/>
        <w:rPr>
          <w:rFonts w:hint="eastAsia" w:ascii="宋体" w:hAnsi="宋体" w:eastAsia="宋体" w:cs="宋体"/>
          <w:sz w:val="20"/>
        </w:rPr>
      </w:pPr>
      <w:r>
        <w:rPr>
          <w:rFonts w:ascii="宋体" w:hAnsi="宋体" w:eastAsia="宋体" w:cs="宋体"/>
          <w:spacing w:val="14"/>
          <w:sz w:val="20"/>
        </w:rPr>
        <w:t>进</w:t>
      </w:r>
      <w:r>
        <w:rPr>
          <w:rFonts w:ascii="宋体" w:hAnsi="宋体" w:eastAsia="宋体" w:cs="宋体"/>
          <w:spacing w:val="9"/>
          <w:sz w:val="20"/>
        </w:rPr>
        <w:t>行</w:t>
      </w:r>
      <w:r>
        <w:rPr>
          <w:rFonts w:ascii="宋体" w:hAnsi="宋体" w:eastAsia="宋体" w:cs="宋体"/>
          <w:spacing w:val="7"/>
          <w:sz w:val="20"/>
        </w:rPr>
        <w:t>即时调整。上述风险包含在本次报价内，合同执行过程中不因人数增加而对处理单</w:t>
      </w:r>
      <w:r>
        <w:rPr>
          <w:rFonts w:ascii="宋体" w:hAnsi="宋体" w:eastAsia="宋体" w:cs="宋体"/>
          <w:sz w:val="20"/>
        </w:rPr>
        <w:t xml:space="preserve"> </w:t>
      </w:r>
      <w:r>
        <w:rPr>
          <w:rFonts w:ascii="宋体" w:hAnsi="宋体" w:eastAsia="宋体" w:cs="宋体"/>
          <w:spacing w:val="9"/>
          <w:sz w:val="20"/>
        </w:rPr>
        <w:t>价</w:t>
      </w:r>
      <w:r>
        <w:rPr>
          <w:rFonts w:ascii="宋体" w:hAnsi="宋体" w:eastAsia="宋体" w:cs="宋体"/>
          <w:spacing w:val="6"/>
          <w:sz w:val="20"/>
        </w:rPr>
        <w:t>进行调整。</w:t>
      </w:r>
    </w:p>
    <w:p w14:paraId="016FC6F0">
      <w:pPr>
        <w:spacing w:before="1" w:line="226" w:lineRule="auto"/>
        <w:ind w:left="136"/>
        <w:rPr>
          <w:rFonts w:hint="eastAsia" w:ascii="宋体" w:hAnsi="宋体" w:eastAsia="宋体" w:cs="宋体"/>
          <w:sz w:val="20"/>
        </w:rPr>
      </w:pPr>
      <w:r>
        <w:rPr>
          <w:rFonts w:eastAsia="Times New Roman"/>
          <w:spacing w:val="10"/>
          <w:sz w:val="20"/>
        </w:rPr>
        <w:t>3.</w:t>
      </w:r>
      <w:r>
        <w:rPr>
          <w:rFonts w:ascii="宋体" w:hAnsi="宋体" w:eastAsia="宋体" w:cs="宋体"/>
          <w:spacing w:val="6"/>
          <w:sz w:val="20"/>
        </w:rPr>
        <w:t>乙</w:t>
      </w:r>
      <w:r>
        <w:rPr>
          <w:rFonts w:ascii="宋体" w:hAnsi="宋体" w:eastAsia="宋体" w:cs="宋体"/>
          <w:spacing w:val="5"/>
          <w:sz w:val="20"/>
        </w:rPr>
        <w:t xml:space="preserve">方派遣本项目的服务人员必须是与之签订正式劳动合同的在册职工，年龄在 </w:t>
      </w:r>
      <w:r>
        <w:rPr>
          <w:rFonts w:eastAsia="Times New Roman"/>
          <w:spacing w:val="5"/>
          <w:sz w:val="20"/>
        </w:rPr>
        <w:t xml:space="preserve">18-50 </w:t>
      </w:r>
      <w:r>
        <w:rPr>
          <w:rFonts w:ascii="宋体" w:hAnsi="宋体" w:eastAsia="宋体" w:cs="宋体"/>
          <w:spacing w:val="5"/>
          <w:sz w:val="20"/>
        </w:rPr>
        <w:t>周</w:t>
      </w:r>
    </w:p>
    <w:p w14:paraId="382F96DE">
      <w:pPr>
        <w:spacing w:before="215" w:line="424" w:lineRule="auto"/>
        <w:ind w:left="563" w:right="130" w:firstLine="5"/>
        <w:rPr>
          <w:rFonts w:hint="eastAsia" w:ascii="宋体" w:hAnsi="宋体" w:eastAsia="宋体" w:cs="宋体"/>
          <w:sz w:val="20"/>
        </w:rPr>
      </w:pPr>
      <w:r>
        <w:rPr>
          <w:rFonts w:ascii="宋体" w:hAnsi="宋体" w:eastAsia="宋体" w:cs="宋体"/>
          <w:spacing w:val="12"/>
          <w:sz w:val="20"/>
        </w:rPr>
        <w:t>岁，并经</w:t>
      </w:r>
      <w:r>
        <w:rPr>
          <w:rFonts w:ascii="宋体" w:hAnsi="宋体" w:eastAsia="宋体" w:cs="宋体"/>
          <w:spacing w:val="11"/>
          <w:sz w:val="20"/>
        </w:rPr>
        <w:t>职</w:t>
      </w:r>
      <w:r>
        <w:rPr>
          <w:rFonts w:ascii="宋体" w:hAnsi="宋体" w:eastAsia="宋体" w:cs="宋体"/>
          <w:spacing w:val="6"/>
          <w:sz w:val="20"/>
        </w:rPr>
        <w:t>业病体检合格。乙方人员应具有国家相关部门办法的特种作业资格证书 (如</w:t>
      </w:r>
      <w:r>
        <w:rPr>
          <w:rFonts w:ascii="宋体" w:hAnsi="宋体" w:eastAsia="宋体" w:cs="宋体"/>
          <w:sz w:val="20"/>
        </w:rPr>
        <w:t xml:space="preserve"> </w:t>
      </w:r>
      <w:r>
        <w:rPr>
          <w:rFonts w:ascii="宋体" w:hAnsi="宋体" w:eastAsia="宋体" w:cs="宋体"/>
          <w:spacing w:val="16"/>
          <w:sz w:val="20"/>
        </w:rPr>
        <w:t>叉</w:t>
      </w:r>
      <w:r>
        <w:rPr>
          <w:rFonts w:ascii="宋体" w:hAnsi="宋体" w:eastAsia="宋体" w:cs="宋体"/>
          <w:spacing w:val="10"/>
          <w:sz w:val="20"/>
        </w:rPr>
        <w:t>车</w:t>
      </w:r>
      <w:r>
        <w:rPr>
          <w:rFonts w:ascii="宋体" w:hAnsi="宋体" w:eastAsia="宋体" w:cs="宋体"/>
          <w:spacing w:val="8"/>
          <w:sz w:val="20"/>
        </w:rPr>
        <w:t>驾驶证等) ，工作期间必须持证上岗。</w:t>
      </w:r>
    </w:p>
    <w:p w14:paraId="14BB868A">
      <w:pPr>
        <w:spacing w:before="1" w:line="226" w:lineRule="auto"/>
        <w:ind w:left="131"/>
        <w:rPr>
          <w:rFonts w:hint="eastAsia" w:ascii="宋体" w:hAnsi="宋体" w:eastAsia="宋体" w:cs="宋体"/>
          <w:sz w:val="20"/>
        </w:rPr>
      </w:pPr>
      <w:r>
        <w:rPr>
          <w:rFonts w:eastAsia="Times New Roman"/>
          <w:spacing w:val="16"/>
          <w:sz w:val="20"/>
        </w:rPr>
        <w:t>4</w:t>
      </w:r>
      <w:r>
        <w:rPr>
          <w:rFonts w:eastAsia="Times New Roman"/>
          <w:spacing w:val="15"/>
          <w:sz w:val="20"/>
        </w:rPr>
        <w:t>.</w:t>
      </w:r>
      <w:r>
        <w:rPr>
          <w:rFonts w:ascii="宋体" w:hAnsi="宋体" w:eastAsia="宋体" w:cs="宋体"/>
          <w:spacing w:val="8"/>
          <w:sz w:val="20"/>
        </w:rPr>
        <w:t>乙方拟派遣本项目的服务人员的身体素质、操作技术水平必须满足甲方要求。</w:t>
      </w:r>
    </w:p>
    <w:p w14:paraId="79250A6F">
      <w:pPr>
        <w:spacing w:before="215" w:line="238" w:lineRule="auto"/>
        <w:ind w:left="139"/>
        <w:outlineLvl w:val="0"/>
        <w:rPr>
          <w:rFonts w:hint="eastAsia" w:ascii="宋体" w:hAnsi="宋体" w:eastAsia="宋体" w:cs="宋体"/>
          <w:sz w:val="20"/>
        </w:rPr>
      </w:pPr>
      <w:r>
        <w:rPr>
          <w:rFonts w:hint="eastAsia" w:ascii="宋体" w:hAnsi="宋体" w:eastAsia="宋体" w:cs="宋体"/>
          <w:spacing w:val="8"/>
          <w:sz w:val="20"/>
          <w14:textOutline w14:w="3797" w14:cap="sq" w14:cmpd="sng" w14:algn="ctr">
            <w14:solidFill>
              <w14:srgbClr w14:val="000000"/>
            </w14:solidFill>
            <w14:prstDash w14:val="solid"/>
            <w14:bevel/>
          </w14:textOutline>
        </w:rPr>
        <w:t>四</w:t>
      </w:r>
      <w:r>
        <w:rPr>
          <w:rFonts w:ascii="宋体" w:hAnsi="宋体" w:eastAsia="宋体" w:cs="宋体"/>
          <w:spacing w:val="8"/>
          <w:sz w:val="20"/>
          <w14:textOutline w14:w="3797" w14:cap="sq" w14:cmpd="sng" w14:algn="ctr">
            <w14:solidFill>
              <w14:srgbClr w14:val="000000"/>
            </w14:solidFill>
            <w14:prstDash w14:val="solid"/>
            <w14:bevel/>
          </w14:textOutline>
        </w:rPr>
        <w:t>、安全责任</w:t>
      </w:r>
    </w:p>
    <w:p w14:paraId="1D0E4E45">
      <w:pPr>
        <w:spacing w:before="204" w:line="325" w:lineRule="auto"/>
        <w:ind w:left="560" w:right="130" w:hanging="408"/>
        <w:rPr>
          <w:rFonts w:hint="eastAsia" w:ascii="宋体" w:hAnsi="宋体" w:eastAsia="宋体" w:cs="宋体"/>
          <w:sz w:val="20"/>
        </w:rPr>
      </w:pPr>
      <w:r>
        <w:rPr>
          <w:rFonts w:eastAsia="Times New Roman"/>
          <w:spacing w:val="12"/>
          <w:sz w:val="20"/>
        </w:rPr>
        <w:t>1</w:t>
      </w:r>
      <w:r>
        <w:rPr>
          <w:rFonts w:eastAsia="Times New Roman"/>
          <w:spacing w:val="9"/>
          <w:sz w:val="20"/>
        </w:rPr>
        <w:t>.</w:t>
      </w:r>
      <w:r>
        <w:rPr>
          <w:rFonts w:ascii="宋体" w:hAnsi="宋体" w:eastAsia="宋体" w:cs="宋体"/>
          <w:spacing w:val="6"/>
          <w:sz w:val="20"/>
        </w:rPr>
        <w:t>乙方负责其工作范围内的人员和设备的安全，因乙方原因发生的一切安全事故，由乙方</w:t>
      </w:r>
      <w:r>
        <w:rPr>
          <w:rFonts w:ascii="宋体" w:hAnsi="宋体" w:eastAsia="宋体" w:cs="宋体"/>
          <w:sz w:val="20"/>
        </w:rPr>
        <w:t xml:space="preserve"> </w:t>
      </w:r>
      <w:r>
        <w:rPr>
          <w:rFonts w:ascii="宋体" w:hAnsi="宋体" w:eastAsia="宋体" w:cs="宋体"/>
          <w:spacing w:val="7"/>
          <w:sz w:val="20"/>
        </w:rPr>
        <w:t>承担相应责任。</w:t>
      </w:r>
    </w:p>
    <w:p w14:paraId="48DD6FFA">
      <w:pPr>
        <w:spacing w:before="214" w:line="226" w:lineRule="auto"/>
        <w:ind w:left="132"/>
        <w:rPr>
          <w:rFonts w:hint="eastAsia" w:ascii="宋体" w:hAnsi="宋体" w:eastAsia="宋体" w:cs="宋体"/>
          <w:sz w:val="20"/>
        </w:rPr>
      </w:pPr>
      <w:r>
        <w:rPr>
          <w:rFonts w:eastAsia="Times New Roman"/>
          <w:spacing w:val="12"/>
          <w:sz w:val="20"/>
        </w:rPr>
        <w:t>2.</w:t>
      </w:r>
      <w:r>
        <w:rPr>
          <w:rFonts w:ascii="宋体" w:hAnsi="宋体" w:eastAsia="宋体" w:cs="宋体"/>
          <w:spacing w:val="6"/>
          <w:sz w:val="20"/>
        </w:rPr>
        <w:t>乙方有责任告知甲方工作范围内职业病的预防，并为现场工作人员购买人身工伤意外保</w:t>
      </w:r>
    </w:p>
    <w:p w14:paraId="721DAB86">
      <w:pPr>
        <w:spacing w:before="216" w:line="228" w:lineRule="auto"/>
        <w:ind w:left="572"/>
        <w:rPr>
          <w:rFonts w:hint="eastAsia" w:ascii="宋体" w:hAnsi="宋体" w:eastAsia="宋体" w:cs="宋体"/>
          <w:sz w:val="20"/>
        </w:rPr>
      </w:pPr>
      <w:r>
        <w:rPr>
          <w:rFonts w:ascii="宋体" w:hAnsi="宋体" w:eastAsia="宋体" w:cs="宋体"/>
          <w:spacing w:val="16"/>
          <w:sz w:val="20"/>
        </w:rPr>
        <w:t>险</w:t>
      </w:r>
      <w:r>
        <w:rPr>
          <w:rFonts w:ascii="宋体" w:hAnsi="宋体" w:eastAsia="宋体" w:cs="宋体"/>
          <w:spacing w:val="14"/>
          <w:sz w:val="20"/>
        </w:rPr>
        <w:t>或</w:t>
      </w:r>
      <w:r>
        <w:rPr>
          <w:rFonts w:ascii="宋体" w:hAnsi="宋体" w:eastAsia="宋体" w:cs="宋体"/>
          <w:spacing w:val="8"/>
          <w:sz w:val="20"/>
        </w:rPr>
        <w:t>雇主责任险，并将保险合同复印件交甲方备案。</w:t>
      </w:r>
    </w:p>
    <w:p w14:paraId="774A2E7C">
      <w:pPr>
        <w:spacing w:before="211" w:line="228" w:lineRule="auto"/>
        <w:ind w:left="136"/>
        <w:rPr>
          <w:rFonts w:hint="eastAsia" w:ascii="宋体" w:hAnsi="宋体" w:eastAsia="宋体" w:cs="宋体"/>
          <w:sz w:val="20"/>
        </w:rPr>
      </w:pPr>
      <w:r>
        <w:rPr>
          <w:rFonts w:eastAsia="Times New Roman"/>
          <w:spacing w:val="12"/>
          <w:sz w:val="20"/>
        </w:rPr>
        <w:t>3.</w:t>
      </w:r>
      <w:r>
        <w:rPr>
          <w:rFonts w:ascii="宋体" w:hAnsi="宋体" w:eastAsia="宋体" w:cs="宋体"/>
          <w:spacing w:val="6"/>
          <w:sz w:val="20"/>
        </w:rPr>
        <w:t>乙方在使用设备、工具等一切属于甲方的物资前，应取得甲方的书面同意记录。在使用</w:t>
      </w:r>
    </w:p>
    <w:p w14:paraId="73E64028">
      <w:pPr>
        <w:spacing w:before="215" w:line="228" w:lineRule="auto"/>
        <w:ind w:left="562"/>
        <w:rPr>
          <w:rFonts w:hint="eastAsia" w:ascii="宋体" w:hAnsi="宋体" w:eastAsia="宋体" w:cs="宋体"/>
          <w:sz w:val="20"/>
        </w:rPr>
      </w:pPr>
      <w:r>
        <w:rPr>
          <w:rFonts w:ascii="宋体" w:hAnsi="宋体" w:eastAsia="宋体" w:cs="宋体"/>
          <w:spacing w:val="18"/>
          <w:sz w:val="20"/>
        </w:rPr>
        <w:t>过</w:t>
      </w:r>
      <w:r>
        <w:rPr>
          <w:rFonts w:ascii="宋体" w:hAnsi="宋体" w:eastAsia="宋体" w:cs="宋体"/>
          <w:spacing w:val="16"/>
          <w:sz w:val="20"/>
        </w:rPr>
        <w:t>程</w:t>
      </w:r>
      <w:r>
        <w:rPr>
          <w:rFonts w:ascii="宋体" w:hAnsi="宋体" w:eastAsia="宋体" w:cs="宋体"/>
          <w:spacing w:val="9"/>
          <w:sz w:val="20"/>
        </w:rPr>
        <w:t>中，因乙方使用不当、违规操作造成的人员安全事故，由乙方承担所有责任。</w:t>
      </w:r>
    </w:p>
    <w:p w14:paraId="63383B23">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7F418A3F">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10619F9B">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0C34B595">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5D26D86A">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364938B2">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3210C481">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484F5969">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2725F51A">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7638A5C2">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763BEFF8">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7471FDE5">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54261D52">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553FB89E">
      <w:pPr>
        <w:pStyle w:val="4"/>
        <w:spacing w:before="120" w:beforeLines="50" w:after="120" w:afterLines="50"/>
        <w:jc w:val="both"/>
        <w:rPr>
          <w:rFonts w:hint="eastAsia" w:ascii="宋体" w:hAnsi="宋体" w:eastAsia="宋体" w:cs="宋体"/>
          <w:color w:val="000000" w:themeColor="text1"/>
          <w:sz w:val="32"/>
          <w:szCs w:val="32"/>
          <w14:textFill>
            <w14:solidFill>
              <w14:schemeClr w14:val="tx1"/>
            </w14:solidFill>
          </w14:textFill>
        </w:rPr>
      </w:pPr>
    </w:p>
    <w:p w14:paraId="089A5979">
      <w:pPr>
        <w:rPr>
          <w:rFonts w:hint="eastAsia" w:ascii="宋体" w:hAnsi="宋体" w:eastAsia="宋体" w:cs="宋体"/>
          <w:color w:val="000000" w:themeColor="text1"/>
          <w:sz w:val="32"/>
          <w:szCs w:val="32"/>
          <w14:textFill>
            <w14:solidFill>
              <w14:schemeClr w14:val="tx1"/>
            </w14:solidFill>
          </w14:textFill>
        </w:rPr>
      </w:pPr>
    </w:p>
    <w:p w14:paraId="246722CB">
      <w:pPr>
        <w:rPr>
          <w:rFonts w:hint="eastAsia" w:ascii="宋体" w:hAnsi="宋体" w:eastAsia="宋体" w:cs="宋体"/>
          <w:color w:val="000000" w:themeColor="text1"/>
          <w:sz w:val="32"/>
          <w:szCs w:val="32"/>
          <w14:textFill>
            <w14:solidFill>
              <w14:schemeClr w14:val="tx1"/>
            </w14:solidFill>
          </w14:textFill>
        </w:rPr>
      </w:pPr>
    </w:p>
    <w:p w14:paraId="23AE8330">
      <w:pPr>
        <w:rPr>
          <w:rFonts w:hint="eastAsia" w:ascii="宋体" w:hAnsi="宋体" w:eastAsia="宋体" w:cs="宋体"/>
          <w:color w:val="000000" w:themeColor="text1"/>
          <w:sz w:val="32"/>
          <w:szCs w:val="32"/>
          <w14:textFill>
            <w14:solidFill>
              <w14:schemeClr w14:val="tx1"/>
            </w14:solidFill>
          </w14:textFill>
        </w:rPr>
      </w:pPr>
    </w:p>
    <w:p w14:paraId="78EBA02D">
      <w:pPr>
        <w:rPr>
          <w:rFonts w:hint="eastAsia" w:ascii="宋体" w:hAnsi="宋体" w:eastAsia="宋体" w:cs="宋体"/>
          <w:color w:val="000000" w:themeColor="text1"/>
          <w:sz w:val="32"/>
          <w:szCs w:val="32"/>
          <w14:textFill>
            <w14:solidFill>
              <w14:schemeClr w14:val="tx1"/>
            </w14:solidFill>
          </w14:textFill>
        </w:rPr>
      </w:pPr>
    </w:p>
    <w:p w14:paraId="026CD317">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p>
    <w:p w14:paraId="23EACCD5">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第五章  投标文件格式</w:t>
      </w:r>
      <w:bookmarkEnd w:id="356"/>
      <w:bookmarkEnd w:id="357"/>
    </w:p>
    <w:p w14:paraId="01C0D90F">
      <w:pPr>
        <w:rPr>
          <w:rFonts w:hint="eastAsia" w:ascii="宋体" w:hAnsi="宋体" w:eastAsia="宋体" w:cs="宋体"/>
          <w:color w:val="000000" w:themeColor="text1"/>
          <w:lang w:val="zh-CN"/>
          <w14:textFill>
            <w14:solidFill>
              <w14:schemeClr w14:val="tx1"/>
            </w14:solidFill>
          </w14:textFill>
        </w:rPr>
      </w:pPr>
    </w:p>
    <w:p w14:paraId="5E53B81D">
      <w:pPr>
        <w:spacing w:line="360" w:lineRule="auto"/>
        <w:jc w:val="center"/>
        <w:outlineLvl w:val="1"/>
        <w:rPr>
          <w:rFonts w:hint="eastAsia" w:ascii="宋体" w:hAnsi="宋体" w:eastAsia="宋体" w:cs="宋体"/>
          <w:b/>
          <w:bCs/>
          <w:color w:val="000000" w:themeColor="text1"/>
          <w:sz w:val="28"/>
          <w:szCs w:val="28"/>
          <w:lang w:val="zh-CN"/>
          <w14:textFill>
            <w14:solidFill>
              <w14:schemeClr w14:val="tx1"/>
            </w14:solidFill>
          </w14:textFill>
        </w:rPr>
      </w:pPr>
      <w:bookmarkStart w:id="358" w:name="_Toc136173622"/>
      <w:bookmarkStart w:id="359" w:name="_Toc11331"/>
      <w:r>
        <w:rPr>
          <w:rFonts w:hint="eastAsia" w:ascii="宋体" w:hAnsi="宋体" w:eastAsia="宋体" w:cs="宋体"/>
          <w:b/>
          <w:bCs/>
          <w:color w:val="000000" w:themeColor="text1"/>
          <w:sz w:val="28"/>
          <w:szCs w:val="28"/>
          <w:lang w:val="zh-CN"/>
          <w14:textFill>
            <w14:solidFill>
              <w14:schemeClr w14:val="tx1"/>
            </w14:solidFill>
          </w14:textFill>
        </w:rPr>
        <w:t>1.</w:t>
      </w:r>
      <w:r>
        <w:rPr>
          <w:rFonts w:hint="eastAsia" w:ascii="宋体" w:hAnsi="宋体" w:eastAsia="宋体" w:cs="宋体"/>
          <w:b/>
          <w:color w:val="000000" w:themeColor="text1"/>
          <w:sz w:val="28"/>
          <w:szCs w:val="28"/>
          <w14:textFill>
            <w14:solidFill>
              <w14:schemeClr w14:val="tx1"/>
            </w14:solidFill>
          </w14:textFill>
        </w:rPr>
        <w:t>投标函的格式和内容</w:t>
      </w:r>
      <w:bookmarkEnd w:id="358"/>
      <w:bookmarkEnd w:id="359"/>
    </w:p>
    <w:p w14:paraId="4CCB1C0F">
      <w:pPr>
        <w:rPr>
          <w:rFonts w:hint="eastAsia" w:ascii="宋体" w:hAnsi="宋体" w:eastAsia="宋体" w:cs="宋体"/>
          <w:color w:val="000000" w:themeColor="text1"/>
          <w:lang w:val="zh-CN"/>
          <w14:textFill>
            <w14:solidFill>
              <w14:schemeClr w14:val="tx1"/>
            </w14:solidFill>
          </w14:textFill>
        </w:rPr>
      </w:pPr>
    </w:p>
    <w:p w14:paraId="27004F08">
      <w:pPr>
        <w:widowControl/>
        <w:jc w:val="center"/>
        <w:rPr>
          <w:rFonts w:hint="eastAsia" w:ascii="宋体" w:hAnsi="宋体" w:eastAsia="宋体" w:cs="宋体"/>
          <w:b/>
          <w:color w:val="000000" w:themeColor="text1"/>
          <w:sz w:val="48"/>
          <w:szCs w:val="48"/>
          <w14:textFill>
            <w14:solidFill>
              <w14:schemeClr w14:val="tx1"/>
            </w14:solidFill>
          </w14:textFill>
        </w:rPr>
      </w:pPr>
    </w:p>
    <w:p w14:paraId="51E4A8BE">
      <w:pPr>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8"/>
          <w:szCs w:val="48"/>
          <w14:textFill>
            <w14:solidFill>
              <w14:schemeClr w14:val="tx1"/>
            </w14:solidFill>
          </w14:textFill>
        </w:rPr>
        <w:t>高州项目、吴川项目</w:t>
      </w:r>
    </w:p>
    <w:p w14:paraId="4C2A5BC3">
      <w:pPr>
        <w:jc w:val="center"/>
        <w:rPr>
          <w:rFonts w:hint="eastAsia" w:ascii="宋体" w:hAnsi="宋体" w:eastAsia="宋体" w:cs="宋体"/>
          <w:b/>
          <w:color w:val="000000" w:themeColor="text1"/>
          <w:sz w:val="44"/>
          <w:szCs w:val="44"/>
          <w14:textFill>
            <w14:solidFill>
              <w14:schemeClr w14:val="tx1"/>
            </w14:solidFill>
          </w14:textFill>
        </w:rPr>
      </w:pPr>
    </w:p>
    <w:p w14:paraId="100F2069">
      <w:pPr>
        <w:jc w:val="center"/>
        <w:rPr>
          <w:rFonts w:hint="eastAsia" w:ascii="宋体" w:hAnsi="宋体" w:eastAsia="宋体" w:cs="宋体"/>
          <w:b/>
          <w:color w:val="000000" w:themeColor="text1"/>
          <w:sz w:val="44"/>
          <w:szCs w:val="44"/>
          <w14:textFill>
            <w14:solidFill>
              <w14:schemeClr w14:val="tx1"/>
            </w14:solidFill>
          </w14:textFill>
        </w:rPr>
      </w:pPr>
    </w:p>
    <w:p w14:paraId="2F5B0415">
      <w:pPr>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2026度飞灰固化处理服务</w:t>
      </w:r>
    </w:p>
    <w:p w14:paraId="51B86C59">
      <w:pPr>
        <w:spacing w:line="360" w:lineRule="auto"/>
        <w:jc w:val="center"/>
        <w:rPr>
          <w:rFonts w:hint="eastAsia"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2B21808E">
      <w:pPr>
        <w:spacing w:line="360" w:lineRule="auto"/>
        <w:rPr>
          <w:rFonts w:hint="eastAsia" w:ascii="宋体" w:hAnsi="宋体" w:eastAsia="宋体" w:cs="宋体"/>
          <w:b/>
          <w:bCs/>
          <w:color w:val="000000" w:themeColor="text1"/>
          <w:sz w:val="84"/>
          <w:szCs w:val="84"/>
          <w14:textFill>
            <w14:solidFill>
              <w14:schemeClr w14:val="tx1"/>
            </w14:solidFill>
          </w14:textFill>
        </w:rPr>
      </w:pPr>
    </w:p>
    <w:p w14:paraId="3F4D827B">
      <w:pPr>
        <w:widowControl/>
        <w:adjustRightInd w:val="0"/>
        <w:snapToGrid w:val="0"/>
        <w:spacing w:line="360" w:lineRule="auto"/>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第一部分 投标函</w:t>
      </w:r>
    </w:p>
    <w:p w14:paraId="1B9379AF">
      <w:pPr>
        <w:jc w:val="center"/>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（招标编号:ITB-LK-GZ/WCFD-YY-fw-2026-001）</w:t>
      </w:r>
    </w:p>
    <w:p w14:paraId="03AFEF9E">
      <w:pPr>
        <w:jc w:val="center"/>
        <w:rPr>
          <w:rFonts w:hint="eastAsia" w:ascii="宋体" w:hAnsi="宋体" w:eastAsia="宋体" w:cs="宋体"/>
          <w:b/>
          <w:color w:val="000000" w:themeColor="text1"/>
          <w:sz w:val="28"/>
          <w:szCs w:val="28"/>
          <w14:textFill>
            <w14:solidFill>
              <w14:schemeClr w14:val="tx1"/>
            </w14:solidFill>
          </w14:textFill>
        </w:rPr>
      </w:pPr>
    </w:p>
    <w:p w14:paraId="0F8826FD">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754C804A">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12E2828F">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16B75C2D">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p>
    <w:p w14:paraId="1357F4FB">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p>
    <w:p w14:paraId="305DF15D">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w:t>
      </w:r>
      <w:r>
        <w:rPr>
          <w:rFonts w:hint="eastAsia" w:ascii="宋体" w:hAnsi="宋体" w:eastAsia="宋体" w:cs="宋体"/>
          <w:bCs/>
          <w:color w:val="000000" w:themeColor="text1"/>
          <w:sz w:val="28"/>
          <w:szCs w:val="28"/>
          <w14:textFill>
            <w14:solidFill>
              <w14:schemeClr w14:val="tx1"/>
            </w14:solidFill>
          </w14:textFill>
        </w:rPr>
        <w:t>五</w:t>
      </w:r>
      <w:r>
        <w:rPr>
          <w:rFonts w:hint="eastAsia" w:ascii="宋体" w:hAnsi="宋体" w:eastAsia="宋体" w:cs="宋体"/>
          <w:bCs/>
          <w:color w:val="000000" w:themeColor="text1"/>
          <w:sz w:val="28"/>
          <w:szCs w:val="28"/>
          <w:lang w:val="zh-CN"/>
          <w14:textFill>
            <w14:solidFill>
              <w14:schemeClr w14:val="tx1"/>
            </w14:solidFill>
          </w14:textFill>
        </w:rPr>
        <w:t>年  月   日</w:t>
      </w:r>
      <w:bookmarkStart w:id="360" w:name="_Toc456799797"/>
      <w:bookmarkStart w:id="361" w:name="_Toc456799949"/>
      <w:bookmarkStart w:id="362" w:name="_Toc456800138"/>
      <w:bookmarkStart w:id="363" w:name="_Toc456799689"/>
      <w:bookmarkStart w:id="364" w:name="_Toc456800168"/>
      <w:bookmarkStart w:id="365" w:name="_Toc456800244"/>
      <w:bookmarkStart w:id="366" w:name="_Toc456800087"/>
    </w:p>
    <w:p w14:paraId="1F014EC2">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p>
    <w:p w14:paraId="10373761">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p>
    <w:bookmarkEnd w:id="360"/>
    <w:bookmarkEnd w:id="361"/>
    <w:bookmarkEnd w:id="362"/>
    <w:bookmarkEnd w:id="363"/>
    <w:bookmarkEnd w:id="364"/>
    <w:bookmarkEnd w:id="365"/>
    <w:bookmarkEnd w:id="366"/>
    <w:p w14:paraId="315441FB">
      <w:pPr>
        <w:tabs>
          <w:tab w:val="left" w:pos="3906"/>
        </w:tabs>
        <w:spacing w:before="120" w:beforeLines="50" w:after="120" w:afterLines="50"/>
        <w:rPr>
          <w:rFonts w:hint="eastAsia" w:ascii="宋体" w:hAnsi="宋体" w:eastAsia="宋体" w:cs="宋体"/>
          <w:b/>
          <w:color w:val="000000" w:themeColor="text1"/>
          <w:szCs w:val="24"/>
          <w14:textFill>
            <w14:solidFill>
              <w14:schemeClr w14:val="tx1"/>
            </w14:solidFill>
          </w14:textFill>
        </w:rPr>
      </w:pPr>
      <w:bookmarkStart w:id="367" w:name="_Toc456799950"/>
      <w:bookmarkStart w:id="368" w:name="_Toc456800088"/>
      <w:bookmarkStart w:id="369" w:name="_Toc456799690"/>
      <w:bookmarkStart w:id="370" w:name="_Toc176085638"/>
      <w:bookmarkStart w:id="371" w:name="_Toc456799798"/>
      <w:bookmarkStart w:id="372" w:name="_Toc456800245"/>
      <w:bookmarkStart w:id="373" w:name="_Toc174521069"/>
      <w:bookmarkStart w:id="374" w:name="_Toc456800169"/>
      <w:bookmarkStart w:id="375" w:name="_Toc456800139"/>
      <w:r>
        <w:rPr>
          <w:rFonts w:hint="eastAsia" w:ascii="宋体" w:hAnsi="宋体" w:eastAsia="宋体" w:cs="宋体"/>
          <w:b/>
          <w:color w:val="000000" w:themeColor="text1"/>
          <w:szCs w:val="24"/>
          <w14:textFill>
            <w14:solidFill>
              <w14:schemeClr w14:val="tx1"/>
            </w14:solidFill>
          </w14:textFill>
        </w:rPr>
        <w:t>1.1 投标函和授权书</w:t>
      </w:r>
      <w:bookmarkEnd w:id="367"/>
      <w:bookmarkEnd w:id="368"/>
      <w:bookmarkEnd w:id="369"/>
      <w:bookmarkEnd w:id="370"/>
      <w:bookmarkEnd w:id="371"/>
      <w:bookmarkEnd w:id="372"/>
      <w:bookmarkEnd w:id="373"/>
      <w:bookmarkEnd w:id="374"/>
      <w:bookmarkEnd w:id="375"/>
    </w:p>
    <w:p w14:paraId="08740770">
      <w:pPr>
        <w:pStyle w:val="3"/>
        <w:tabs>
          <w:tab w:val="left" w:pos="567"/>
          <w:tab w:val="left" w:pos="3906"/>
        </w:tabs>
        <w:spacing w:beforeLines="50" w:afterLines="50"/>
        <w:ind w:firstLine="360" w:firstLineChars="150"/>
        <w:jc w:val="left"/>
        <w:rPr>
          <w:rFonts w:hint="eastAsia" w:cs="宋体"/>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投标人应提供投标函，其格式详见附录5-1-1投标函。在投标函后面应附上投标人的法人代表证明或法人委托授权书见附录5-1-2。</w:t>
      </w:r>
    </w:p>
    <w:p w14:paraId="664E1194">
      <w:pPr>
        <w:tabs>
          <w:tab w:val="left" w:pos="3906"/>
        </w:tabs>
        <w:spacing w:before="120" w:beforeLines="50" w:after="120" w:afterLines="50"/>
        <w:jc w:val="left"/>
        <w:rPr>
          <w:rFonts w:hint="eastAsia" w:ascii="宋体" w:hAnsi="宋体" w:eastAsia="宋体" w:cs="宋体"/>
          <w:b/>
          <w:color w:val="000000" w:themeColor="text1"/>
          <w:szCs w:val="24"/>
          <w14:textFill>
            <w14:solidFill>
              <w14:schemeClr w14:val="tx1"/>
            </w14:solidFill>
          </w14:textFill>
        </w:rPr>
      </w:pPr>
      <w:bookmarkStart w:id="376" w:name="_Toc174521070"/>
      <w:bookmarkStart w:id="377" w:name="_Toc176085639"/>
      <w:bookmarkStart w:id="378" w:name="_Toc456799691"/>
      <w:bookmarkStart w:id="379" w:name="_Toc456799799"/>
      <w:bookmarkStart w:id="380" w:name="_Toc456800140"/>
      <w:bookmarkStart w:id="381" w:name="_Toc456800089"/>
      <w:bookmarkStart w:id="382" w:name="_Toc456800246"/>
      <w:bookmarkStart w:id="383" w:name="_Toc456799951"/>
      <w:bookmarkStart w:id="384" w:name="_Toc456800170"/>
      <w:r>
        <w:rPr>
          <w:rFonts w:hint="eastAsia" w:ascii="宋体" w:hAnsi="宋体" w:eastAsia="宋体" w:cs="宋体"/>
          <w:b/>
          <w:color w:val="000000" w:themeColor="text1"/>
          <w:szCs w:val="24"/>
          <w14:textFill>
            <w14:solidFill>
              <w14:schemeClr w14:val="tx1"/>
            </w14:solidFill>
          </w14:textFill>
        </w:rPr>
        <w:t>2.2 投标</w:t>
      </w:r>
      <w:bookmarkEnd w:id="376"/>
      <w:bookmarkEnd w:id="377"/>
      <w:r>
        <w:rPr>
          <w:rFonts w:hint="eastAsia" w:ascii="宋体" w:hAnsi="宋体" w:eastAsia="宋体" w:cs="宋体"/>
          <w:b/>
          <w:color w:val="000000" w:themeColor="text1"/>
          <w:szCs w:val="24"/>
          <w14:textFill>
            <w14:solidFill>
              <w14:schemeClr w14:val="tx1"/>
            </w14:solidFill>
          </w14:textFill>
        </w:rPr>
        <w:t>报价格式</w:t>
      </w:r>
      <w:bookmarkEnd w:id="378"/>
      <w:bookmarkEnd w:id="379"/>
      <w:bookmarkEnd w:id="380"/>
      <w:bookmarkEnd w:id="381"/>
      <w:bookmarkEnd w:id="382"/>
      <w:bookmarkEnd w:id="383"/>
      <w:bookmarkEnd w:id="384"/>
    </w:p>
    <w:p w14:paraId="5C0535F4">
      <w:pPr>
        <w:pStyle w:val="3"/>
        <w:tabs>
          <w:tab w:val="left" w:pos="567"/>
          <w:tab w:val="left" w:pos="3906"/>
        </w:tabs>
        <w:spacing w:beforeLines="50" w:afterLines="50"/>
        <w:jc w:val="left"/>
        <w:rPr>
          <w:rFonts w:hint="eastAsia"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2.1.1总价及分项价格</w:t>
      </w:r>
    </w:p>
    <w:p w14:paraId="4EF3ADA7">
      <w:pPr>
        <w:pStyle w:val="3"/>
        <w:tabs>
          <w:tab w:val="left" w:pos="567"/>
          <w:tab w:val="left" w:pos="3906"/>
        </w:tabs>
        <w:spacing w:beforeLines="50" w:afterLines="50"/>
        <w:ind w:firstLine="360" w:firstLineChars="150"/>
        <w:jc w:val="left"/>
        <w:rPr>
          <w:rFonts w:hint="eastAsia" w:cs="宋体"/>
          <w:b/>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投标人参照本节附录5-1-5提供的“报价表格式”填报完成招标文件要求的所有工作和服务所需要的分项价格及总价。</w:t>
      </w:r>
    </w:p>
    <w:p w14:paraId="7559BB9A">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在标书有效期内和合同执行期间（如中标），总价及其分项价格不能增加，且被视为已完全包括了招标文件中要求的全部工作和服务内容所发生的一切成本、利润、管理费和其他一切费用及支出。</w:t>
      </w:r>
    </w:p>
    <w:p w14:paraId="0E7EFE48">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投标人应充分了解项目位置、道路、储存空间、装卸条件及任何足以影响投标报价的情况，中标后任何因忽视或误解项目情况等导致的索赔或工期延长申请均不被批准。</w:t>
      </w:r>
    </w:p>
    <w:p w14:paraId="38EDC309">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本招标文件中所提供的基础文件仅作参考，投标人要进一步认真核定，此工作量不作为以后索赔的原因。</w:t>
      </w:r>
    </w:p>
    <w:p w14:paraId="145FF090">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投标人的报价应包括工作服务范围和服务范围中描述的全部工作服务内容和要求，或从中可推断出的所有工作内容和服务的价格。</w:t>
      </w:r>
    </w:p>
    <w:p w14:paraId="3F9C71F2">
      <w:pPr>
        <w:tabs>
          <w:tab w:val="left" w:pos="3906"/>
        </w:tabs>
        <w:spacing w:before="120" w:beforeLines="50" w:after="120" w:afterLines="50" w:line="360" w:lineRule="auto"/>
        <w:rPr>
          <w:rFonts w:hint="eastAsia" w:ascii="宋体" w:hAnsi="宋体" w:eastAsia="宋体" w:cs="宋体"/>
          <w:bCs/>
          <w:color w:val="000000" w:themeColor="text1"/>
          <w:szCs w:val="24"/>
          <w14:textFill>
            <w14:solidFill>
              <w14:schemeClr w14:val="tx1"/>
            </w14:solidFill>
          </w14:textFill>
        </w:rPr>
      </w:pPr>
      <w:bookmarkStart w:id="385" w:name="_Toc174521072"/>
      <w:bookmarkStart w:id="386" w:name="_Toc176085641"/>
      <w:r>
        <w:rPr>
          <w:rFonts w:hint="eastAsia" w:ascii="宋体" w:hAnsi="宋体" w:eastAsia="宋体" w:cs="宋体"/>
          <w:color w:val="000000" w:themeColor="text1"/>
          <w:szCs w:val="24"/>
          <w14:textFill>
            <w14:solidFill>
              <w14:schemeClr w14:val="tx1"/>
            </w14:solidFill>
          </w14:textFill>
        </w:rPr>
        <w:t>2.2资格预审资料更新</w:t>
      </w:r>
      <w:bookmarkEnd w:id="385"/>
      <w:bookmarkEnd w:id="386"/>
    </w:p>
    <w:p w14:paraId="6FCC1C24">
      <w:pPr>
        <w:tabs>
          <w:tab w:val="left" w:pos="3906"/>
        </w:tabs>
        <w:spacing w:before="120" w:beforeLines="50" w:after="120" w:afterLines="50" w:line="360" w:lineRule="auto"/>
        <w:ind w:firstLine="511" w:firstLineChars="213"/>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投标人如果已提供过资格预审响应文件，则须在商务标书中详细说明其在资格预审响应文件中提供信息的任何重要变化。</w:t>
      </w:r>
    </w:p>
    <w:p w14:paraId="04607902">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如果投标人没有提供过资格预审响应文件，或没有完全按照要求提供资格预审响应文件，则须在商务标书中提供格审查文件中要求提供的资料。</w:t>
      </w:r>
    </w:p>
    <w:p w14:paraId="040EF2CF">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无论在资格预审响应文件中提供与否，投标人应在投标文件中提供其会计事务所审计过的过去三年的合同额、营业额，以及财务资产负债表、损益表和现金流量表。</w:t>
      </w:r>
      <w:bookmarkStart w:id="387" w:name="_Toc174521074"/>
      <w:bookmarkStart w:id="388" w:name="_Toc176085643"/>
    </w:p>
    <w:p w14:paraId="4C85A1B3">
      <w:pPr>
        <w:tabs>
          <w:tab w:val="left" w:pos="3906"/>
        </w:tabs>
        <w:spacing w:before="120" w:beforeLines="50" w:after="120" w:afterLines="50"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2.3商务偏差</w:t>
      </w:r>
      <w:bookmarkEnd w:id="387"/>
      <w:bookmarkEnd w:id="388"/>
    </w:p>
    <w:p w14:paraId="3D993A34">
      <w:pPr>
        <w:pStyle w:val="95"/>
        <w:tabs>
          <w:tab w:val="left" w:pos="3906"/>
          <w:tab w:val="clear" w:pos="360"/>
        </w:tabs>
        <w:spacing w:before="120" w:beforeLines="50" w:after="120" w:afterLines="50" w:line="360" w:lineRule="auto"/>
        <w:ind w:left="0" w:firstLine="0"/>
        <w:rPr>
          <w:rFonts w:hint="eastAsia" w:ascii="宋体" w:hAnsi="宋体" w:cs="宋体"/>
          <w:b w:val="0"/>
          <w:bCs/>
          <w:color w:val="000000" w:themeColor="text1"/>
          <w:szCs w:val="24"/>
          <w:lang w:eastAsia="zh-CN"/>
          <w14:textFill>
            <w14:solidFill>
              <w14:schemeClr w14:val="tx1"/>
            </w14:solidFill>
          </w14:textFill>
        </w:rPr>
      </w:pPr>
      <w:r>
        <w:rPr>
          <w:rFonts w:hint="eastAsia" w:ascii="宋体" w:hAnsi="宋体" w:cs="宋体"/>
          <w:b w:val="0"/>
          <w:bCs/>
          <w:color w:val="000000" w:themeColor="text1"/>
          <w:szCs w:val="24"/>
          <w:lang w:eastAsia="zh-CN"/>
          <w14:textFill>
            <w14:solidFill>
              <w14:schemeClr w14:val="tx1"/>
            </w14:solidFill>
          </w14:textFill>
        </w:rPr>
        <w:t>投标人须将商务标书中任何与招标文件要求的任何不一致之处在本节附件1-6商务偏差表中列明。</w:t>
      </w:r>
      <w:bookmarkStart w:id="389" w:name="_Toc176085644"/>
      <w:bookmarkStart w:id="390" w:name="_Toc174521075"/>
    </w:p>
    <w:p w14:paraId="3A5A9F21">
      <w:pPr>
        <w:tabs>
          <w:tab w:val="left" w:pos="3906"/>
        </w:tabs>
        <w:spacing w:before="120" w:beforeLines="50" w:after="120" w:afterLines="50" w:line="360" w:lineRule="auto"/>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2.4附件</w:t>
      </w:r>
      <w:bookmarkEnd w:id="389"/>
      <w:bookmarkEnd w:id="390"/>
      <w:r>
        <w:rPr>
          <w:rFonts w:hint="eastAsia" w:ascii="宋体" w:hAnsi="宋体" w:eastAsia="宋体" w:cs="宋体"/>
          <w:b/>
          <w:color w:val="000000" w:themeColor="text1"/>
          <w:szCs w:val="24"/>
          <w14:textFill>
            <w14:solidFill>
              <w14:schemeClr w14:val="tx1"/>
            </w14:solidFill>
          </w14:textFill>
        </w:rPr>
        <w:t xml:space="preserve">详后。 </w:t>
      </w:r>
    </w:p>
    <w:p w14:paraId="41977E58">
      <w:pPr>
        <w:spacing w:line="580" w:lineRule="exact"/>
        <w:rPr>
          <w:rFonts w:hint="eastAsia" w:ascii="宋体" w:hAnsi="宋体" w:eastAsia="宋体" w:cs="宋体"/>
          <w:b/>
          <w:bCs/>
          <w:color w:val="000000" w:themeColor="text1"/>
          <w:szCs w:val="24"/>
          <w14:textFill>
            <w14:solidFill>
              <w14:schemeClr w14:val="tx1"/>
            </w14:solidFill>
          </w14:textFill>
        </w:rPr>
      </w:pPr>
    </w:p>
    <w:p w14:paraId="6BD6C923">
      <w:pPr>
        <w:tabs>
          <w:tab w:val="left" w:pos="3906"/>
        </w:tabs>
        <w:spacing w:before="120" w:beforeLines="50" w:after="120" w:afterLines="50" w:line="360" w:lineRule="auto"/>
        <w:rPr>
          <w:rFonts w:hint="eastAsia" w:ascii="宋体" w:hAnsi="宋体" w:eastAsia="宋体" w:cs="宋体"/>
          <w:b/>
          <w:color w:val="000000" w:themeColor="text1"/>
          <w:szCs w:val="24"/>
          <w14:textFill>
            <w14:solidFill>
              <w14:schemeClr w14:val="tx1"/>
            </w14:solidFill>
          </w14:textFill>
        </w:rPr>
      </w:pPr>
      <w:bookmarkStart w:id="391" w:name="_Toc174521076"/>
      <w:bookmarkStart w:id="392" w:name="_Toc176085645"/>
      <w:bookmarkStart w:id="393" w:name="_Toc456799695"/>
      <w:bookmarkStart w:id="394" w:name="_Toc456799955"/>
      <w:bookmarkStart w:id="395" w:name="_Toc456799803"/>
      <w:r>
        <w:rPr>
          <w:rFonts w:hint="eastAsia" w:ascii="宋体" w:hAnsi="宋体" w:eastAsia="宋体" w:cs="宋体"/>
          <w:b/>
          <w:color w:val="000000" w:themeColor="text1"/>
          <w:szCs w:val="24"/>
          <w14:textFill>
            <w14:solidFill>
              <w14:schemeClr w14:val="tx1"/>
            </w14:solidFill>
          </w14:textFill>
        </w:rPr>
        <w:t>附录5-1-1 投标函</w:t>
      </w:r>
      <w:bookmarkEnd w:id="391"/>
      <w:bookmarkEnd w:id="392"/>
    </w:p>
    <w:p w14:paraId="29EF3562">
      <w:pPr>
        <w:suppressAutoHyphens/>
        <w:spacing w:line="360" w:lineRule="auto"/>
        <w:jc w:val="center"/>
        <w:rPr>
          <w:rFonts w:hint="eastAsia" w:ascii="宋体" w:hAnsi="宋体" w:eastAsia="宋体" w:cs="宋体"/>
          <w:b/>
          <w:color w:val="000000" w:themeColor="text1"/>
          <w:szCs w:val="24"/>
          <w14:textFill>
            <w14:solidFill>
              <w14:schemeClr w14:val="tx1"/>
            </w14:solidFill>
          </w14:textFill>
        </w:rPr>
      </w:pPr>
      <w:bookmarkStart w:id="396" w:name="_Toc456799800"/>
      <w:bookmarkStart w:id="397" w:name="_Toc456800141"/>
      <w:bookmarkStart w:id="398" w:name="_Toc456800171"/>
      <w:bookmarkStart w:id="399" w:name="_Toc456799692"/>
      <w:bookmarkStart w:id="400" w:name="_Toc456799952"/>
      <w:bookmarkStart w:id="401" w:name="_Toc456800090"/>
      <w:r>
        <w:rPr>
          <w:rFonts w:hint="eastAsia" w:ascii="宋体" w:hAnsi="宋体" w:eastAsia="宋体" w:cs="宋体"/>
          <w:b/>
          <w:color w:val="000000" w:themeColor="text1"/>
          <w:szCs w:val="24"/>
          <w14:textFill>
            <w14:solidFill>
              <w14:schemeClr w14:val="tx1"/>
            </w14:solidFill>
          </w14:textFill>
        </w:rPr>
        <w:t>投标函</w:t>
      </w:r>
      <w:bookmarkEnd w:id="396"/>
      <w:bookmarkEnd w:id="397"/>
      <w:bookmarkEnd w:id="398"/>
      <w:bookmarkEnd w:id="399"/>
      <w:bookmarkEnd w:id="400"/>
      <w:bookmarkEnd w:id="401"/>
    </w:p>
    <w:p w14:paraId="58DFB935">
      <w:pPr>
        <w:spacing w:line="360" w:lineRule="auto"/>
        <w:jc w:val="left"/>
        <w:rPr>
          <w:rFonts w:hint="eastAsia" w:ascii="宋体" w:hAnsi="宋体" w:eastAsia="宋体" w:cs="宋体"/>
          <w:color w:val="000000" w:themeColor="text1"/>
          <w:szCs w:val="24"/>
          <w14:textFill>
            <w14:solidFill>
              <w14:schemeClr w14:val="tx1"/>
            </w14:solidFill>
          </w14:textFill>
        </w:rPr>
      </w:pPr>
    </w:p>
    <w:p w14:paraId="7B763739">
      <w:pPr>
        <w:suppressAutoHyphens/>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招标人：深圳市朗坤科技股份有限公司</w:t>
      </w:r>
    </w:p>
    <w:p w14:paraId="020BC9C0">
      <w:pPr>
        <w:suppressAutoHyphens/>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地址：</w:t>
      </w:r>
      <w:r>
        <w:rPr>
          <w:rFonts w:ascii="宋体" w:hAnsi="宋体" w:eastAsia="宋体" w:cs="宋体"/>
          <w:sz w:val="24"/>
          <w:szCs w:val="24"/>
        </w:rPr>
        <w:t>深圳市龙岗区坪地街道高桥社区朗坤科技园10楼</w:t>
      </w:r>
      <w:bookmarkStart w:id="425" w:name="_GoBack"/>
      <w:bookmarkEnd w:id="425"/>
    </w:p>
    <w:p w14:paraId="1947692C">
      <w:pPr>
        <w:suppressAutoHyphens/>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电话：0668-6139715</w:t>
      </w:r>
    </w:p>
    <w:p w14:paraId="639A8D15">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p>
    <w:p w14:paraId="3B235624">
      <w:pPr>
        <w:spacing w:line="360" w:lineRule="auto"/>
        <w:ind w:left="521" w:leftChars="217"/>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，按照贵方的招标书（发标日期： 2025年</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日，招标号：</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）的要求进行报价，并在此呈上我方的投标文件（包括开标一览表、技术标书和商务标书三部分）。</w:t>
      </w:r>
    </w:p>
    <w:p w14:paraId="55AC720D">
      <w:pPr>
        <w:spacing w:line="360" w:lineRule="auto"/>
        <w:rPr>
          <w:rFonts w:hint="eastAsia" w:ascii="宋体" w:hAnsi="宋体" w:eastAsia="宋体" w:cs="宋体"/>
          <w:szCs w:val="24"/>
        </w:rPr>
      </w:pPr>
      <w:r>
        <w:rPr>
          <w:rFonts w:hint="eastAsia" w:ascii="宋体" w:hAnsi="宋体" w:eastAsia="宋体" w:cs="宋体"/>
          <w:color w:val="000000" w:themeColor="text1"/>
          <w:szCs w:val="24"/>
          <w14:textFill>
            <w14:solidFill>
              <w14:schemeClr w14:val="tx1"/>
            </w14:solidFill>
          </w14:textFill>
        </w:rPr>
        <w:t>在所附商务标书中，我方的报价为</w:t>
      </w:r>
      <w:r>
        <w:rPr>
          <w:rFonts w:hint="eastAsia" w:ascii="宋体" w:hAnsi="宋体" w:eastAsia="宋体" w:cs="宋体"/>
          <w:color w:val="000000" w:themeColor="text1"/>
          <w:szCs w:val="24"/>
          <w:highlight w:val="green"/>
          <w14:textFill>
            <w14:solidFill>
              <w14:schemeClr w14:val="tx1"/>
            </w14:solidFill>
          </w14:textFill>
        </w:rPr>
        <w:t>高州项目综合单价</w:t>
      </w:r>
      <w:r>
        <w:rPr>
          <w:rFonts w:hint="eastAsia" w:ascii="宋体" w:hAnsi="宋体" w:eastAsia="宋体" w:cs="宋体"/>
          <w:color w:val="000000" w:themeColor="text1"/>
          <w:szCs w:val="24"/>
          <w14:textFill>
            <w14:solidFill>
              <w14:schemeClr w14:val="tx1"/>
            </w14:solidFill>
          </w14:textFill>
        </w:rPr>
        <w:t>：__________________元/吨</w:t>
      </w:r>
      <w:r>
        <w:rPr>
          <w:rFonts w:hint="eastAsia" w:ascii="宋体" w:hAnsi="宋体" w:eastAsia="宋体" w:cs="宋体"/>
          <w:color w:val="000000" w:themeColor="text1"/>
          <w:szCs w:val="24"/>
          <w:u w:val="single"/>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大写</w:t>
      </w:r>
      <w:r>
        <w:rPr>
          <w:rFonts w:hint="eastAsia" w:ascii="宋体" w:hAnsi="宋体" w:eastAsia="宋体" w:cs="宋体"/>
          <w:color w:val="000000" w:themeColor="text1"/>
          <w:szCs w:val="24"/>
          <w:u w:val="single"/>
          <w14:textFill>
            <w14:solidFill>
              <w14:schemeClr w14:val="tx1"/>
            </w14:solidFill>
          </w14:textFill>
        </w:rPr>
        <w:t>:         ）</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highlight w:val="green"/>
          <w14:textFill>
            <w14:solidFill>
              <w14:schemeClr w14:val="tx1"/>
            </w14:solidFill>
          </w14:textFill>
        </w:rPr>
        <w:t>吴川项目综合单价</w:t>
      </w:r>
      <w:r>
        <w:rPr>
          <w:rFonts w:hint="eastAsia" w:ascii="宋体" w:hAnsi="宋体" w:eastAsia="宋体" w:cs="宋体"/>
          <w:color w:val="000000" w:themeColor="text1"/>
          <w:szCs w:val="24"/>
          <w14:textFill>
            <w14:solidFill>
              <w14:schemeClr w14:val="tx1"/>
            </w14:solidFill>
          </w14:textFill>
        </w:rPr>
        <w:t>：__________________元/吨</w:t>
      </w:r>
      <w:r>
        <w:rPr>
          <w:rFonts w:hint="eastAsia" w:ascii="宋体" w:hAnsi="宋体" w:eastAsia="宋体" w:cs="宋体"/>
          <w:color w:val="000000" w:themeColor="text1"/>
          <w:szCs w:val="24"/>
          <w:u w:val="single"/>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大写</w:t>
      </w:r>
      <w:r>
        <w:rPr>
          <w:rFonts w:hint="eastAsia" w:ascii="宋体" w:hAnsi="宋体" w:eastAsia="宋体" w:cs="宋体"/>
          <w:color w:val="000000" w:themeColor="text1"/>
          <w:szCs w:val="24"/>
          <w:u w:val="single"/>
          <w14:textFill>
            <w14:solidFill>
              <w14:schemeClr w14:val="tx1"/>
            </w14:solidFill>
          </w14:textFill>
        </w:rPr>
        <w:t>:         ）</w:t>
      </w:r>
      <w:r>
        <w:rPr>
          <w:rFonts w:hint="eastAsia" w:ascii="宋体" w:hAnsi="宋体" w:eastAsia="宋体" w:cs="宋体"/>
          <w:color w:val="000000" w:themeColor="text1"/>
          <w:szCs w:val="24"/>
          <w14:textFill>
            <w14:solidFill>
              <w14:schemeClr w14:val="tx1"/>
            </w14:solidFill>
          </w14:textFill>
        </w:rPr>
        <w:t>。该报价为固定综合单价，即</w:t>
      </w:r>
      <w:r>
        <w:rPr>
          <w:rFonts w:ascii="宋体" w:hAnsi="宋体" w:eastAsia="宋体" w:cs="宋体"/>
          <w:szCs w:val="24"/>
        </w:rPr>
        <w:t>固定单价包括但不限于：人工费（含叉车司机）、厂内运输转运费（含叉车/板车、燃 料、保养等）、材料费（吨袋、药剂、维保材料等）、设备维保费（含因乙方原因导致设备 损坏维修、零件备件更换费用）、工器具费、交通差旅费、食宿费、劳保用品费、外部协调 飞灰固化处理服务合同 3 费、保险费、职业健康体检费、企业管理费、各类检测检验费、安全文明和技术措施费、利 润、税费等为完成《技术规范书》和国家规范规定的所有工作内容所需的费用。</w:t>
      </w:r>
    </w:p>
    <w:p w14:paraId="53A047CB">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在投标文件有效期内，即在（</w:t>
      </w:r>
      <w:r>
        <w:rPr>
          <w:rFonts w:hint="eastAsia" w:ascii="宋体" w:hAnsi="宋体" w:eastAsia="宋体" w:cs="宋体"/>
          <w:color w:val="000000" w:themeColor="text1"/>
          <w:szCs w:val="24"/>
          <w:u w:val="single"/>
          <w14:textFill>
            <w14:solidFill>
              <w14:schemeClr w14:val="tx1"/>
            </w14:solidFill>
          </w14:textFill>
        </w:rPr>
        <w:t>有效期满）</w:t>
      </w:r>
      <w:r>
        <w:rPr>
          <w:rFonts w:hint="eastAsia" w:ascii="宋体" w:hAnsi="宋体" w:eastAsia="宋体" w:cs="宋体"/>
          <w:color w:val="000000" w:themeColor="text1"/>
          <w:szCs w:val="24"/>
          <w14:textFill>
            <w14:solidFill>
              <w14:schemeClr w14:val="tx1"/>
            </w14:solidFill>
          </w14:textFill>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46EF263D">
      <w:pPr>
        <w:spacing w:line="360" w:lineRule="auto"/>
        <w:ind w:firstLine="470" w:firstLineChars="196"/>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我方已详细研究了解招标文件的所有内容包括修正文（如果有）和所有已提供的参考资料以及有关附件并完全明白, 我方放弃在此方面提出含糊意见或误解的一切权力。</w:t>
      </w:r>
    </w:p>
    <w:p w14:paraId="5F9AD6CA">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我方理解你方不一定接受最低报价或任何贵方可能收到的投标。</w:t>
      </w:r>
    </w:p>
    <w:p w14:paraId="522EDB0C">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p>
    <w:p w14:paraId="6A964921">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228054CD">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3041FFD6">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6F007388">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日期：2025年  月  日</w:t>
      </w:r>
    </w:p>
    <w:p w14:paraId="7F5D0A7C">
      <w:pPr>
        <w:spacing w:line="360" w:lineRule="auto"/>
        <w:jc w:val="left"/>
        <w:rPr>
          <w:rFonts w:hint="eastAsia" w:ascii="宋体" w:hAnsi="宋体" w:eastAsia="宋体" w:cs="宋体"/>
          <w:b/>
          <w:color w:val="000000" w:themeColor="text1"/>
          <w:szCs w:val="24"/>
          <w14:textFill>
            <w14:solidFill>
              <w14:schemeClr w14:val="tx1"/>
            </w14:solidFill>
          </w14:textFill>
        </w:rPr>
      </w:pPr>
      <w:bookmarkStart w:id="402" w:name="_Toc456800091"/>
      <w:bookmarkStart w:id="403" w:name="_Toc456799953"/>
      <w:bookmarkStart w:id="404" w:name="_Toc456799801"/>
      <w:bookmarkStart w:id="405" w:name="_Toc456799693"/>
    </w:p>
    <w:p w14:paraId="2F682E69">
      <w:pPr>
        <w:spacing w:line="360" w:lineRule="auto"/>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附录5-1-2 法人代表人授权书</w:t>
      </w:r>
      <w:bookmarkEnd w:id="402"/>
      <w:bookmarkEnd w:id="403"/>
      <w:bookmarkEnd w:id="404"/>
      <w:bookmarkEnd w:id="405"/>
    </w:p>
    <w:p w14:paraId="4AC93342">
      <w:pPr>
        <w:spacing w:line="360" w:lineRule="auto"/>
        <w:ind w:firstLine="525"/>
        <w:jc w:val="center"/>
        <w:rPr>
          <w:rFonts w:hint="eastAsia" w:ascii="宋体" w:hAnsi="宋体" w:eastAsia="宋体" w:cs="宋体"/>
          <w:b/>
          <w:color w:val="000000" w:themeColor="text1"/>
          <w:szCs w:val="24"/>
          <w14:textFill>
            <w14:solidFill>
              <w14:schemeClr w14:val="tx1"/>
            </w14:solidFill>
          </w14:textFill>
        </w:rPr>
      </w:pPr>
      <w:bookmarkStart w:id="406" w:name="_Toc456800092"/>
      <w:bookmarkStart w:id="407" w:name="_Toc456800247"/>
      <w:bookmarkStart w:id="408" w:name="_Toc456799954"/>
      <w:bookmarkStart w:id="409" w:name="_Toc456799802"/>
      <w:bookmarkStart w:id="410" w:name="_Toc456800172"/>
      <w:bookmarkStart w:id="411" w:name="_Toc456800142"/>
      <w:bookmarkStart w:id="412" w:name="_Toc456799694"/>
      <w:r>
        <w:rPr>
          <w:rFonts w:hint="eastAsia" w:ascii="宋体" w:hAnsi="宋体" w:eastAsia="宋体" w:cs="宋体"/>
          <w:b/>
          <w:color w:val="000000" w:themeColor="text1"/>
          <w:szCs w:val="24"/>
          <w14:textFill>
            <w14:solidFill>
              <w14:schemeClr w14:val="tx1"/>
            </w14:solidFill>
          </w14:textFill>
        </w:rPr>
        <w:t>法定代表人授权书</w:t>
      </w:r>
      <w:bookmarkEnd w:id="406"/>
      <w:bookmarkEnd w:id="407"/>
      <w:bookmarkEnd w:id="408"/>
      <w:bookmarkEnd w:id="409"/>
      <w:bookmarkEnd w:id="410"/>
      <w:bookmarkEnd w:id="411"/>
      <w:bookmarkEnd w:id="412"/>
    </w:p>
    <w:p w14:paraId="23C03EE6">
      <w:pPr>
        <w:spacing w:line="360" w:lineRule="auto"/>
        <w:rPr>
          <w:rFonts w:hint="eastAsia" w:ascii="宋体" w:hAnsi="宋体" w:eastAsia="宋体" w:cs="宋体"/>
          <w:color w:val="000000" w:themeColor="text1"/>
          <w:szCs w:val="24"/>
          <w14:textFill>
            <w14:solidFill>
              <w14:schemeClr w14:val="tx1"/>
            </w14:solidFill>
          </w14:textFill>
        </w:rPr>
      </w:pPr>
    </w:p>
    <w:p w14:paraId="2139C1D1">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致：深圳市朗坤科技股份有限公司</w:t>
      </w:r>
    </w:p>
    <w:p w14:paraId="3FCD349C">
      <w:pPr>
        <w:spacing w:line="360" w:lineRule="auto"/>
        <w:ind w:firstLine="720" w:firstLineChars="30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本授权书声明：注册于中华人民共和国的</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的在下面签字的</w:t>
      </w:r>
      <w:r>
        <w:rPr>
          <w:rFonts w:hint="eastAsia" w:ascii="宋体" w:hAnsi="宋体" w:eastAsia="宋体" w:cs="宋体"/>
          <w:color w:val="000000" w:themeColor="text1"/>
          <w:szCs w:val="24"/>
          <w:u w:val="single"/>
          <w14:textFill>
            <w14:solidFill>
              <w14:schemeClr w14:val="tx1"/>
            </w14:solidFill>
          </w14:textFill>
        </w:rPr>
        <w:t>（法定代表人姓名职务）</w:t>
      </w:r>
      <w:r>
        <w:rPr>
          <w:rFonts w:hint="eastAsia" w:ascii="宋体" w:hAnsi="宋体" w:eastAsia="宋体" w:cs="宋体"/>
          <w:color w:val="000000" w:themeColor="text1"/>
          <w:szCs w:val="24"/>
          <w14:textFill>
            <w14:solidFill>
              <w14:schemeClr w14:val="tx1"/>
            </w14:solidFill>
          </w14:textFill>
        </w:rPr>
        <w:t>代表本公司授权的在下面签字的</w:t>
      </w:r>
      <w:r>
        <w:rPr>
          <w:rFonts w:hint="eastAsia" w:ascii="宋体" w:hAnsi="宋体" w:eastAsia="宋体" w:cs="宋体"/>
          <w:color w:val="000000" w:themeColor="text1"/>
          <w:szCs w:val="24"/>
          <w:u w:val="single"/>
          <w14:textFill>
            <w14:solidFill>
              <w14:schemeClr w14:val="tx1"/>
            </w14:solidFill>
          </w14:textFill>
        </w:rPr>
        <w:t>（被授权人的姓名职务）</w:t>
      </w:r>
      <w:r>
        <w:rPr>
          <w:rFonts w:hint="eastAsia" w:ascii="宋体" w:hAnsi="宋体" w:eastAsia="宋体" w:cs="宋体"/>
          <w:color w:val="000000" w:themeColor="text1"/>
          <w:szCs w:val="24"/>
          <w14:textFill>
            <w14:solidFill>
              <w14:schemeClr w14:val="tx1"/>
            </w14:solidFill>
          </w14:textFill>
        </w:rPr>
        <w:t>为本公司的合法代</w:t>
      </w:r>
      <w:r>
        <w:rPr>
          <w:rFonts w:hint="eastAsia" w:ascii="宋体" w:hAnsi="宋体" w:eastAsia="宋体" w:cs="宋体"/>
          <w:szCs w:val="24"/>
        </w:rPr>
        <w:t>理人，就</w:t>
      </w:r>
      <w:r>
        <w:rPr>
          <w:rFonts w:hint="eastAsia" w:ascii="宋体" w:hAnsi="宋体" w:eastAsia="宋体" w:cs="宋体"/>
          <w:szCs w:val="24"/>
          <w:u w:val="single"/>
        </w:rPr>
        <w:t xml:space="preserve">                         （项目名称）的高州项目、吴川项目2026年度飞灰固化处理服务</w:t>
      </w:r>
      <w:r>
        <w:rPr>
          <w:rFonts w:hint="eastAsia" w:ascii="宋体" w:hAnsi="宋体" w:eastAsia="宋体" w:cs="宋体"/>
          <w:szCs w:val="24"/>
        </w:rPr>
        <w:t>的投标，以本公司名义处理一切与之有关的事务。</w:t>
      </w:r>
      <w:r>
        <w:rPr>
          <w:rFonts w:hint="eastAsia" w:ascii="宋体" w:hAnsi="宋体" w:eastAsia="宋体" w:cs="宋体"/>
          <w:color w:val="000000" w:themeColor="text1"/>
          <w:szCs w:val="24"/>
          <w14:textFill>
            <w14:solidFill>
              <w14:schemeClr w14:val="tx1"/>
            </w14:solidFill>
          </w14:textFill>
        </w:rPr>
        <w:t>（本授权只作为投标使用，其它事宜另行授权）</w:t>
      </w:r>
    </w:p>
    <w:p w14:paraId="3E681BAA">
      <w:pPr>
        <w:spacing w:line="360" w:lineRule="auto"/>
        <w:ind w:firstLine="360" w:firstLineChars="15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本授权书于2025年   月     日签字生效，有效期为360天。特此声明。</w:t>
      </w:r>
    </w:p>
    <w:p w14:paraId="3AFA1E2D">
      <w:pPr>
        <w:snapToGrid w:val="0"/>
        <w:spacing w:line="360" w:lineRule="auto"/>
        <w:ind w:firstLine="360" w:firstLineChars="1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代理人无转委托权。</w:t>
      </w:r>
    </w:p>
    <w:p w14:paraId="286480E3">
      <w:pPr>
        <w:snapToGrid w:val="0"/>
        <w:spacing w:line="360" w:lineRule="auto"/>
        <w:ind w:firstLine="360" w:firstLineChars="1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特此委托。</w:t>
      </w:r>
    </w:p>
    <w:p w14:paraId="32B14474">
      <w:pPr>
        <w:snapToGrid w:val="0"/>
        <w:spacing w:line="580" w:lineRule="exact"/>
        <w:ind w:firstLine="6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842645</wp:posOffset>
                </wp:positionH>
                <wp:positionV relativeFrom="paragraph">
                  <wp:posOffset>250825</wp:posOffset>
                </wp:positionV>
                <wp:extent cx="2085975" cy="1143000"/>
                <wp:effectExtent l="0" t="0" r="9525"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wps:spPr>
                      <wps:txbx>
                        <w:txbxContent>
                          <w:p w14:paraId="47EB3431">
                            <w:pPr>
                              <w:jc w:val="center"/>
                            </w:pPr>
                          </w:p>
                          <w:p w14:paraId="253E2587">
                            <w:pPr>
                              <w:jc w:val="center"/>
                            </w:pPr>
                          </w:p>
                          <w:p w14:paraId="5C326AD5">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6.35pt;margin-top:19.75pt;height:90pt;width:164.25pt;z-index:251659264;mso-width-relative:page;mso-height-relative:page;" fillcolor="#FFFFFF" filled="t" stroked="t" coordsize="21600,21600" o:gfxdata="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gXeUDVAAAACgEAAA8AAAAAAAAAAQAgAAAAIgAAAGRy&#10;cy9kb3ducmV2LnhtbFBLAQIUABQAAAAIAIdO4kCdEfISQQIAAKEEAAAOAAAAAAAAAAEAIAAAACQB&#10;AABkcnMvZTJvRG9jLnhtbFBLBQYAAAAABgAGAFkBAADXBQAAAAA=&#10;">
                <v:fill on="t" focussize="0,0"/>
                <v:stroke color="#000000" miterlimit="8" joinstyle="miter" dashstyle="longDash"/>
                <v:imagedata o:title=""/>
                <o:lock v:ext="edit" aspectratio="f"/>
                <v:textbox>
                  <w:txbxContent>
                    <w:p w14:paraId="47EB3431">
                      <w:pPr>
                        <w:jc w:val="center"/>
                      </w:pPr>
                    </w:p>
                    <w:p w14:paraId="253E2587">
                      <w:pPr>
                        <w:jc w:val="center"/>
                      </w:pPr>
                    </w:p>
                    <w:p w14:paraId="5C326AD5">
                      <w:pPr>
                        <w:jc w:val="center"/>
                      </w:pPr>
                      <w:r>
                        <w:rPr>
                          <w:rFonts w:hint="eastAsia"/>
                        </w:rPr>
                        <w:t>居民身份证粘贴处 正</w:t>
                      </w:r>
                      <w:r>
                        <w:t>反面</w:t>
                      </w:r>
                    </w:p>
                  </w:txbxContent>
                </v:textbox>
              </v:shape>
            </w:pict>
          </mc:Fallback>
        </mc:AlternateContent>
      </w:r>
    </w:p>
    <w:p w14:paraId="559BF4A0">
      <w:pPr>
        <w:snapToGrid w:val="0"/>
        <w:spacing w:line="580" w:lineRule="exact"/>
        <w:ind w:firstLine="600"/>
        <w:jc w:val="left"/>
        <w:rPr>
          <w:rFonts w:hint="eastAsia" w:ascii="宋体" w:hAnsi="宋体" w:eastAsia="宋体" w:cs="宋体"/>
          <w:color w:val="000000" w:themeColor="text1"/>
          <w:szCs w:val="24"/>
          <w14:textFill>
            <w14:solidFill>
              <w14:schemeClr w14:val="tx1"/>
            </w14:solidFill>
          </w14:textFill>
        </w:rPr>
      </w:pPr>
    </w:p>
    <w:p w14:paraId="5B0479D6">
      <w:pPr>
        <w:snapToGrid w:val="0"/>
        <w:spacing w:line="580" w:lineRule="exact"/>
        <w:ind w:firstLine="600"/>
        <w:jc w:val="left"/>
        <w:rPr>
          <w:rFonts w:hint="eastAsia" w:ascii="宋体" w:hAnsi="宋体" w:eastAsia="宋体" w:cs="宋体"/>
          <w:color w:val="000000" w:themeColor="text1"/>
          <w:szCs w:val="24"/>
          <w14:textFill>
            <w14:solidFill>
              <w14:schemeClr w14:val="tx1"/>
            </w14:solidFill>
          </w14:textFill>
        </w:rPr>
      </w:pPr>
    </w:p>
    <w:p w14:paraId="55C2ED2B">
      <w:pPr>
        <w:spacing w:line="58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p w14:paraId="32117013">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6205607E">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0353A894">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3B76F156">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日期：2025年  月  日</w:t>
      </w:r>
    </w:p>
    <w:p w14:paraId="5D15333B">
      <w:pPr>
        <w:spacing w:line="360" w:lineRule="auto"/>
        <w:ind w:right="480"/>
        <w:rPr>
          <w:rFonts w:hint="eastAsia" w:ascii="宋体" w:hAnsi="宋体" w:eastAsia="宋体" w:cs="宋体"/>
          <w:b/>
          <w:color w:val="000000" w:themeColor="text1"/>
          <w:szCs w:val="24"/>
          <w14:textFill>
            <w14:solidFill>
              <w14:schemeClr w14:val="tx1"/>
            </w14:solidFill>
          </w14:textFill>
        </w:rPr>
      </w:pPr>
    </w:p>
    <w:p w14:paraId="115B37C0">
      <w:pPr>
        <w:spacing w:line="360" w:lineRule="auto"/>
        <w:ind w:right="48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附被授权人最近三个月社保缴纳证明</w:t>
      </w:r>
    </w:p>
    <w:p w14:paraId="73768801">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p>
    <w:p w14:paraId="254C849A">
      <w:pPr>
        <w:spacing w:before="240" w:beforeLines="100" w:after="240" w:afterLines="100" w:line="360" w:lineRule="auto"/>
        <w:rPr>
          <w:rFonts w:hint="eastAsia" w:ascii="宋体" w:hAnsi="宋体" w:eastAsia="宋体" w:cs="宋体"/>
          <w:color w:val="000000" w:themeColor="text1"/>
          <w:szCs w:val="24"/>
          <w14:textFill>
            <w14:solidFill>
              <w14:schemeClr w14:val="tx1"/>
            </w14:solidFill>
          </w14:textFill>
        </w:rPr>
        <w:sectPr>
          <w:footerReference r:id="rId10" w:type="default"/>
          <w:pgSz w:w="11907" w:h="16840"/>
          <w:pgMar w:top="1418" w:right="1418" w:bottom="1418" w:left="1418" w:header="851" w:footer="906" w:gutter="0"/>
          <w:cols w:space="425" w:num="1"/>
          <w:titlePg/>
          <w:docGrid w:linePitch="536" w:charSpace="7143"/>
        </w:sectPr>
      </w:pPr>
    </w:p>
    <w:p w14:paraId="0387D3B4">
      <w:pPr>
        <w:spacing w:before="240" w:beforeLines="100" w:after="240" w:afterLines="100" w:line="360" w:lineRule="auto"/>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附录5-1-3投标承诺书</w:t>
      </w:r>
    </w:p>
    <w:p w14:paraId="0CD14602">
      <w:pPr>
        <w:spacing w:before="240" w:beforeLines="100" w:after="240" w:afterLines="100" w:line="360" w:lineRule="auto"/>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投标承诺书</w:t>
      </w:r>
    </w:p>
    <w:p w14:paraId="5377753F">
      <w:pPr>
        <w:spacing w:line="400" w:lineRule="exact"/>
        <w:jc w:val="center"/>
        <w:rPr>
          <w:rFonts w:hint="eastAsia" w:ascii="宋体" w:hAnsi="宋体" w:eastAsia="宋体" w:cs="宋体"/>
          <w:b/>
          <w:color w:val="000000" w:themeColor="text1"/>
          <w:szCs w:val="24"/>
          <w14:textFill>
            <w14:solidFill>
              <w14:schemeClr w14:val="tx1"/>
            </w14:solidFill>
          </w14:textFill>
        </w:rPr>
      </w:pPr>
    </w:p>
    <w:p w14:paraId="28D9C668">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致：深圳市朗坤科技股份有限公司</w:t>
      </w:r>
    </w:p>
    <w:p w14:paraId="459D596D">
      <w:pPr>
        <w:spacing w:line="360" w:lineRule="auto"/>
        <w:rPr>
          <w:rFonts w:hint="eastAsia" w:ascii="宋体" w:hAnsi="宋体" w:eastAsia="宋体" w:cs="宋体"/>
          <w:color w:val="000000" w:themeColor="text1"/>
          <w:szCs w:val="24"/>
          <w14:textFill>
            <w14:solidFill>
              <w14:schemeClr w14:val="tx1"/>
            </w14:solidFill>
          </w14:textFill>
        </w:rPr>
      </w:pPr>
    </w:p>
    <w:p w14:paraId="407C75AD">
      <w:pPr>
        <w:spacing w:before="240" w:beforeLines="100" w:after="240" w:afterLines="100"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我方（投标人名称：                 ）愿响应你方的</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（项目名称）</w:t>
      </w:r>
      <w:r>
        <w:rPr>
          <w:rFonts w:hint="eastAsia" w:ascii="宋体" w:hAnsi="宋体" w:eastAsia="宋体" w:cs="宋体"/>
          <w:szCs w:val="24"/>
          <w:u w:val="single"/>
        </w:rPr>
        <w:t>的2026年度飞灰固化处理服务</w:t>
      </w:r>
      <w:r>
        <w:rPr>
          <w:rFonts w:hint="eastAsia" w:ascii="宋体" w:hAnsi="宋体" w:eastAsia="宋体" w:cs="宋体"/>
          <w:color w:val="000000" w:themeColor="text1"/>
          <w:szCs w:val="24"/>
          <w14:textFill>
            <w14:solidFill>
              <w14:schemeClr w14:val="tx1"/>
            </w14:solidFill>
          </w14:textFill>
        </w:rPr>
        <w:t>投标邀请，参与投标，我方承诺并保证：</w:t>
      </w:r>
    </w:p>
    <w:p w14:paraId="01BB47D7">
      <w:pPr>
        <w:spacing w:before="240" w:beforeLines="100" w:after="240" w:afterLines="100"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我方在参加本次投标前3年内，在经营活动及参与投标活动中没有重大违法活动及涉嫌违规行为，并没有因而被有关部门警告或处分的记录，且没有下列情况：</w:t>
      </w:r>
    </w:p>
    <w:p w14:paraId="08BFBC5B">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a)因项目质量、安全事故受到行政处罚，期限未满的；</w:t>
      </w:r>
    </w:p>
    <w:p w14:paraId="3EA999D8">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b)因项目中标后弃标而受到行政处罚，期限未满的；</w:t>
      </w:r>
    </w:p>
    <w:p w14:paraId="0B7FD971">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c)与其他投标人相互串通投标报价，排挤其他投标人的公平竞争，损害投标人或其他投标人的合法权益的事宜；</w:t>
      </w:r>
    </w:p>
    <w:p w14:paraId="42C57069">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d)最近三年内有骗取中标和严重违约情况的；</w:t>
      </w:r>
    </w:p>
    <w:p w14:paraId="2B763401">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e)处于被责令停业，投标资格被取消，财产被接管、冻结，破产状态的。</w:t>
      </w:r>
    </w:p>
    <w:p w14:paraId="70B5C541">
      <w:pPr>
        <w:spacing w:before="240" w:beforeLines="100" w:after="240" w:afterLines="100" w:line="360" w:lineRule="auto"/>
        <w:rPr>
          <w:rFonts w:hint="eastAsia" w:ascii="宋体" w:hAnsi="宋体" w:eastAsia="宋体" w:cs="宋体"/>
          <w:color w:val="000000" w:themeColor="text1"/>
          <w:szCs w:val="24"/>
          <w14:textFill>
            <w14:solidFill>
              <w14:schemeClr w14:val="tx1"/>
            </w14:solidFill>
          </w14:textFill>
        </w:rPr>
      </w:pPr>
    </w:p>
    <w:p w14:paraId="085D45FA">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法定代表人（或被授权人）签字:</w:t>
      </w:r>
    </w:p>
    <w:p w14:paraId="7D5248EE">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58C4CCBE">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日期：2025年  月  日</w:t>
      </w:r>
    </w:p>
    <w:p w14:paraId="10EF7FA6">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p>
    <w:p w14:paraId="4F00C8FD">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p>
    <w:p w14:paraId="6C2B68E6">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p>
    <w:p w14:paraId="58643B56">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p>
    <w:p w14:paraId="18452EC8">
      <w:pPr>
        <w:snapToGrid w:val="0"/>
        <w:spacing w:line="580" w:lineRule="exact"/>
        <w:ind w:firstLine="361" w:firstLineChars="150"/>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附录5-1-4开标一览表格式</w:t>
      </w:r>
      <w:bookmarkEnd w:id="393"/>
      <w:bookmarkEnd w:id="394"/>
      <w:bookmarkEnd w:id="395"/>
    </w:p>
    <w:p w14:paraId="31206EA5">
      <w:pPr>
        <w:pStyle w:val="94"/>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开标一览表</w:t>
      </w:r>
    </w:p>
    <w:p w14:paraId="44418E6D">
      <w:pPr>
        <w:spacing w:line="360" w:lineRule="auto"/>
        <w:ind w:firstLine="4400"/>
        <w:rPr>
          <w:rFonts w:hint="eastAsia" w:ascii="宋体" w:hAnsi="宋体" w:eastAsia="宋体" w:cs="宋体"/>
          <w:b/>
          <w:color w:val="000000" w:themeColor="text1"/>
          <w:szCs w:val="24"/>
          <w14:textFill>
            <w14:solidFill>
              <w14:schemeClr w14:val="tx1"/>
            </w14:solidFill>
          </w14:textFill>
        </w:rPr>
      </w:pPr>
    </w:p>
    <w:p w14:paraId="2201C750">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招标编号：ITB-LK-GZFD-YY-fw-2026-001</w:t>
      </w:r>
    </w:p>
    <w:p w14:paraId="39480820">
      <w:pPr>
        <w:spacing w:line="360" w:lineRule="auto"/>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投标人名称：                                   日期：</w:t>
      </w:r>
    </w:p>
    <w:p w14:paraId="1B6C9915">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项目名称：高州项目</w:t>
      </w:r>
    </w:p>
    <w:p w14:paraId="30396BDC">
      <w:pPr>
        <w:tabs>
          <w:tab w:val="left" w:pos="420"/>
          <w:tab w:val="left" w:pos="7710"/>
        </w:tabs>
        <w:adjustRightInd w:val="0"/>
        <w:snapToGrid w:val="0"/>
        <w:spacing w:line="360" w:lineRule="auto"/>
        <w:ind w:right="-288" w:rightChars="-120"/>
        <w:rPr>
          <w:rFonts w:hint="eastAsia" w:ascii="宋体" w:hAnsi="宋体" w:cs="仿宋"/>
          <w:b/>
          <w:szCs w:val="21"/>
        </w:rPr>
      </w:pPr>
      <w:r>
        <w:rPr>
          <w:rFonts w:hint="eastAsia" w:ascii="宋体" w:hAnsi="宋体" w:cs="仿宋"/>
          <w:b/>
          <w:szCs w:val="21"/>
        </w:rPr>
        <w:t>主要车辆及人员要求</w:t>
      </w:r>
    </w:p>
    <w:tbl>
      <w:tblPr>
        <w:tblStyle w:val="48"/>
        <w:tblW w:w="9555" w:type="dxa"/>
        <w:tblInd w:w="93" w:type="dxa"/>
        <w:tblLayout w:type="autofit"/>
        <w:tblCellMar>
          <w:top w:w="0" w:type="dxa"/>
          <w:left w:w="108" w:type="dxa"/>
          <w:bottom w:w="0" w:type="dxa"/>
          <w:right w:w="108" w:type="dxa"/>
        </w:tblCellMar>
      </w:tblPr>
      <w:tblGrid>
        <w:gridCol w:w="981"/>
        <w:gridCol w:w="1080"/>
        <w:gridCol w:w="2910"/>
        <w:gridCol w:w="1411"/>
        <w:gridCol w:w="1431"/>
        <w:gridCol w:w="1742"/>
      </w:tblGrid>
      <w:tr w14:paraId="567D343F">
        <w:tblPrEx>
          <w:tblCellMar>
            <w:top w:w="0" w:type="dxa"/>
            <w:left w:w="108" w:type="dxa"/>
            <w:bottom w:w="0" w:type="dxa"/>
            <w:right w:w="108" w:type="dxa"/>
          </w:tblCellMar>
        </w:tblPrEx>
        <w:trPr>
          <w:trHeight w:val="460" w:hRule="atLeast"/>
        </w:trPr>
        <w:tc>
          <w:tcPr>
            <w:tcW w:w="982" w:type="dxa"/>
            <w:tcBorders>
              <w:top w:val="single" w:color="000000" w:sz="8" w:space="0"/>
              <w:left w:val="single" w:color="000000" w:sz="8" w:space="0"/>
              <w:bottom w:val="single" w:color="000000" w:sz="8" w:space="0"/>
              <w:right w:val="single" w:color="000000" w:sz="8" w:space="0"/>
            </w:tcBorders>
            <w:vAlign w:val="center"/>
          </w:tcPr>
          <w:p w14:paraId="25EB975D">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序号</w:t>
            </w:r>
          </w:p>
        </w:tc>
        <w:tc>
          <w:tcPr>
            <w:tcW w:w="3991" w:type="dxa"/>
            <w:gridSpan w:val="2"/>
            <w:tcBorders>
              <w:top w:val="single" w:color="000000" w:sz="8" w:space="0"/>
              <w:left w:val="nil"/>
              <w:bottom w:val="single" w:color="000000" w:sz="8" w:space="0"/>
              <w:right w:val="single" w:color="000000" w:sz="8" w:space="0"/>
            </w:tcBorders>
            <w:vAlign w:val="center"/>
          </w:tcPr>
          <w:p w14:paraId="5A1A865A">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名称</w:t>
            </w:r>
          </w:p>
        </w:tc>
        <w:tc>
          <w:tcPr>
            <w:tcW w:w="1411" w:type="dxa"/>
            <w:tcBorders>
              <w:top w:val="single" w:color="000000" w:sz="8" w:space="0"/>
              <w:left w:val="nil"/>
              <w:bottom w:val="single" w:color="000000" w:sz="8" w:space="0"/>
              <w:right w:val="single" w:color="000000" w:sz="8" w:space="0"/>
            </w:tcBorders>
            <w:vAlign w:val="center"/>
          </w:tcPr>
          <w:p w14:paraId="46A1140B">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元/月</w:t>
            </w:r>
          </w:p>
        </w:tc>
        <w:tc>
          <w:tcPr>
            <w:tcW w:w="1431" w:type="dxa"/>
            <w:tcBorders>
              <w:top w:val="single" w:color="000000" w:sz="8" w:space="0"/>
              <w:left w:val="nil"/>
              <w:bottom w:val="single" w:color="000000" w:sz="8" w:space="0"/>
              <w:right w:val="single" w:color="000000" w:sz="8" w:space="0"/>
            </w:tcBorders>
            <w:vAlign w:val="center"/>
          </w:tcPr>
          <w:p w14:paraId="2C8AD2AC">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元/年</w:t>
            </w:r>
          </w:p>
        </w:tc>
        <w:tc>
          <w:tcPr>
            <w:tcW w:w="1742" w:type="dxa"/>
            <w:tcBorders>
              <w:top w:val="single" w:color="000000" w:sz="8" w:space="0"/>
              <w:left w:val="nil"/>
              <w:bottom w:val="single" w:color="000000" w:sz="8" w:space="0"/>
              <w:right w:val="single" w:color="000000" w:sz="8" w:space="0"/>
            </w:tcBorders>
            <w:vAlign w:val="center"/>
          </w:tcPr>
          <w:p w14:paraId="64C0E0CE">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备注</w:t>
            </w:r>
          </w:p>
        </w:tc>
      </w:tr>
      <w:tr w14:paraId="6D1F9430">
        <w:tblPrEx>
          <w:tblCellMar>
            <w:top w:w="0" w:type="dxa"/>
            <w:left w:w="108" w:type="dxa"/>
            <w:bottom w:w="0" w:type="dxa"/>
            <w:right w:w="108" w:type="dxa"/>
          </w:tblCellMar>
        </w:tblPrEx>
        <w:trPr>
          <w:trHeight w:val="680" w:hRule="atLeast"/>
        </w:trPr>
        <w:tc>
          <w:tcPr>
            <w:tcW w:w="982" w:type="dxa"/>
            <w:vMerge w:val="restart"/>
            <w:tcBorders>
              <w:top w:val="nil"/>
              <w:left w:val="single" w:color="000000" w:sz="8" w:space="0"/>
              <w:bottom w:val="single" w:color="000000" w:sz="8" w:space="0"/>
              <w:right w:val="single" w:color="000000" w:sz="8" w:space="0"/>
            </w:tcBorders>
            <w:vAlign w:val="center"/>
          </w:tcPr>
          <w:p w14:paraId="1C4A46EE">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1080" w:type="dxa"/>
            <w:vMerge w:val="restart"/>
            <w:tcBorders>
              <w:top w:val="nil"/>
              <w:left w:val="nil"/>
              <w:bottom w:val="single" w:color="000000" w:sz="8" w:space="0"/>
              <w:right w:val="single" w:color="000000" w:sz="8" w:space="0"/>
            </w:tcBorders>
            <w:vAlign w:val="center"/>
          </w:tcPr>
          <w:p w14:paraId="688FDD78">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人员费用</w:t>
            </w:r>
          </w:p>
        </w:tc>
        <w:tc>
          <w:tcPr>
            <w:tcW w:w="2911" w:type="dxa"/>
            <w:tcBorders>
              <w:top w:val="nil"/>
              <w:left w:val="nil"/>
              <w:bottom w:val="single" w:color="000000" w:sz="8" w:space="0"/>
              <w:right w:val="single" w:color="000000" w:sz="8" w:space="0"/>
            </w:tcBorders>
            <w:vAlign w:val="center"/>
          </w:tcPr>
          <w:p w14:paraId="72302998">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项目经理（1人）</w:t>
            </w:r>
          </w:p>
        </w:tc>
        <w:tc>
          <w:tcPr>
            <w:tcW w:w="1411" w:type="dxa"/>
            <w:tcBorders>
              <w:top w:val="nil"/>
              <w:left w:val="nil"/>
              <w:bottom w:val="single" w:color="000000" w:sz="8" w:space="0"/>
              <w:right w:val="single" w:color="000000" w:sz="8" w:space="0"/>
            </w:tcBorders>
            <w:vAlign w:val="center"/>
          </w:tcPr>
          <w:p w14:paraId="3CB8A6BA">
            <w:pPr>
              <w:jc w:val="center"/>
              <w:rPr>
                <w:rFonts w:hint="eastAsia" w:ascii="宋体" w:hAnsi="宋体" w:eastAsia="宋体" w:cs="宋体"/>
                <w:color w:val="000000"/>
                <w:sz w:val="22"/>
                <w:szCs w:val="22"/>
              </w:rPr>
            </w:pPr>
          </w:p>
        </w:tc>
        <w:tc>
          <w:tcPr>
            <w:tcW w:w="1431" w:type="dxa"/>
            <w:tcBorders>
              <w:top w:val="nil"/>
              <w:left w:val="nil"/>
              <w:bottom w:val="single" w:color="000000" w:sz="8" w:space="0"/>
              <w:right w:val="single" w:color="000000" w:sz="8" w:space="0"/>
            </w:tcBorders>
            <w:vAlign w:val="center"/>
          </w:tcPr>
          <w:p w14:paraId="12E106D0">
            <w:pPr>
              <w:jc w:val="center"/>
              <w:rPr>
                <w:rFonts w:hint="eastAsia" w:ascii="宋体" w:hAnsi="宋体" w:eastAsia="宋体" w:cs="宋体"/>
                <w:color w:val="000000"/>
                <w:sz w:val="22"/>
                <w:szCs w:val="22"/>
              </w:rPr>
            </w:pPr>
          </w:p>
        </w:tc>
        <w:tc>
          <w:tcPr>
            <w:tcW w:w="1742" w:type="dxa"/>
            <w:vMerge w:val="restart"/>
            <w:tcBorders>
              <w:top w:val="single" w:color="000000" w:sz="8" w:space="0"/>
              <w:left w:val="nil"/>
              <w:bottom w:val="single" w:color="000000" w:sz="8" w:space="0"/>
              <w:right w:val="single" w:color="000000" w:sz="8" w:space="0"/>
            </w:tcBorders>
            <w:vAlign w:val="center"/>
          </w:tcPr>
          <w:p w14:paraId="5DCF19D9">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含工资、五险一金、福利等费用</w:t>
            </w:r>
          </w:p>
        </w:tc>
      </w:tr>
      <w:tr w14:paraId="2B6ABE83">
        <w:tblPrEx>
          <w:tblCellMar>
            <w:top w:w="0" w:type="dxa"/>
            <w:left w:w="108" w:type="dxa"/>
            <w:bottom w:w="0" w:type="dxa"/>
            <w:right w:w="108" w:type="dxa"/>
          </w:tblCellMar>
        </w:tblPrEx>
        <w:trPr>
          <w:trHeight w:val="780" w:hRule="atLeast"/>
        </w:trPr>
        <w:tc>
          <w:tcPr>
            <w:tcW w:w="982" w:type="dxa"/>
            <w:vMerge w:val="continue"/>
            <w:tcBorders>
              <w:top w:val="nil"/>
              <w:left w:val="single" w:color="000000" w:sz="8" w:space="0"/>
              <w:bottom w:val="single" w:color="000000" w:sz="8" w:space="0"/>
              <w:right w:val="single" w:color="000000" w:sz="8" w:space="0"/>
            </w:tcBorders>
            <w:vAlign w:val="center"/>
          </w:tcPr>
          <w:p w14:paraId="6F84E707">
            <w:pPr>
              <w:jc w:val="center"/>
              <w:rPr>
                <w:rFonts w:hint="eastAsia" w:ascii="宋体" w:hAnsi="宋体" w:eastAsia="宋体" w:cs="宋体"/>
                <w:color w:val="000000"/>
                <w:sz w:val="22"/>
                <w:szCs w:val="22"/>
              </w:rPr>
            </w:pPr>
          </w:p>
        </w:tc>
        <w:tc>
          <w:tcPr>
            <w:tcW w:w="1080" w:type="dxa"/>
            <w:vMerge w:val="continue"/>
            <w:tcBorders>
              <w:top w:val="nil"/>
              <w:left w:val="nil"/>
              <w:bottom w:val="single" w:color="000000" w:sz="8" w:space="0"/>
              <w:right w:val="single" w:color="000000" w:sz="8" w:space="0"/>
            </w:tcBorders>
            <w:vAlign w:val="center"/>
          </w:tcPr>
          <w:p w14:paraId="589FDF78">
            <w:pPr>
              <w:jc w:val="center"/>
              <w:rPr>
                <w:rFonts w:hint="eastAsia" w:ascii="宋体" w:hAnsi="宋体" w:eastAsia="宋体" w:cs="宋体"/>
                <w:color w:val="000000"/>
                <w:sz w:val="22"/>
                <w:szCs w:val="22"/>
              </w:rPr>
            </w:pPr>
          </w:p>
        </w:tc>
        <w:tc>
          <w:tcPr>
            <w:tcW w:w="2911" w:type="dxa"/>
            <w:tcBorders>
              <w:top w:val="nil"/>
              <w:left w:val="nil"/>
              <w:bottom w:val="single" w:color="000000" w:sz="8" w:space="0"/>
              <w:right w:val="single" w:color="000000" w:sz="8" w:space="0"/>
            </w:tcBorders>
            <w:vAlign w:val="center"/>
          </w:tcPr>
          <w:p w14:paraId="084CD60A">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飞灰稳定化操作及设备维护区域卫生人员（3人）</w:t>
            </w:r>
          </w:p>
        </w:tc>
        <w:tc>
          <w:tcPr>
            <w:tcW w:w="1411" w:type="dxa"/>
            <w:tcBorders>
              <w:top w:val="nil"/>
              <w:left w:val="nil"/>
              <w:bottom w:val="single" w:color="000000" w:sz="8" w:space="0"/>
              <w:right w:val="single" w:color="000000" w:sz="8" w:space="0"/>
            </w:tcBorders>
            <w:vAlign w:val="center"/>
          </w:tcPr>
          <w:p w14:paraId="06BBF023">
            <w:pPr>
              <w:jc w:val="center"/>
              <w:rPr>
                <w:rFonts w:hint="eastAsia" w:ascii="宋体" w:hAnsi="宋体" w:eastAsia="宋体" w:cs="宋体"/>
                <w:color w:val="000000"/>
                <w:sz w:val="22"/>
                <w:szCs w:val="22"/>
              </w:rPr>
            </w:pPr>
          </w:p>
        </w:tc>
        <w:tc>
          <w:tcPr>
            <w:tcW w:w="1431" w:type="dxa"/>
            <w:tcBorders>
              <w:top w:val="nil"/>
              <w:left w:val="nil"/>
              <w:bottom w:val="single" w:color="000000" w:sz="8" w:space="0"/>
              <w:right w:val="single" w:color="000000" w:sz="8" w:space="0"/>
            </w:tcBorders>
            <w:vAlign w:val="center"/>
          </w:tcPr>
          <w:p w14:paraId="72F83286">
            <w:pPr>
              <w:jc w:val="center"/>
              <w:rPr>
                <w:rFonts w:hint="eastAsia" w:ascii="宋体" w:hAnsi="宋体" w:eastAsia="宋体" w:cs="宋体"/>
                <w:color w:val="000000"/>
                <w:sz w:val="22"/>
                <w:szCs w:val="22"/>
              </w:rPr>
            </w:pPr>
          </w:p>
        </w:tc>
        <w:tc>
          <w:tcPr>
            <w:tcW w:w="1742" w:type="dxa"/>
            <w:vMerge w:val="continue"/>
            <w:tcBorders>
              <w:top w:val="single" w:color="000000" w:sz="8" w:space="0"/>
              <w:left w:val="nil"/>
              <w:bottom w:val="single" w:color="000000" w:sz="8" w:space="0"/>
              <w:right w:val="single" w:color="000000" w:sz="8" w:space="0"/>
            </w:tcBorders>
            <w:vAlign w:val="center"/>
          </w:tcPr>
          <w:p w14:paraId="36B72748">
            <w:pPr>
              <w:jc w:val="center"/>
              <w:rPr>
                <w:rFonts w:hint="eastAsia" w:ascii="宋体" w:hAnsi="宋体" w:eastAsia="宋体" w:cs="宋体"/>
                <w:color w:val="000000"/>
                <w:sz w:val="22"/>
                <w:szCs w:val="22"/>
              </w:rPr>
            </w:pPr>
          </w:p>
        </w:tc>
      </w:tr>
      <w:tr w14:paraId="349B3E3E">
        <w:tblPrEx>
          <w:tblCellMar>
            <w:top w:w="0" w:type="dxa"/>
            <w:left w:w="108" w:type="dxa"/>
            <w:bottom w:w="0" w:type="dxa"/>
            <w:right w:w="108" w:type="dxa"/>
          </w:tblCellMar>
        </w:tblPrEx>
        <w:trPr>
          <w:trHeight w:val="860" w:hRule="atLeast"/>
        </w:trPr>
        <w:tc>
          <w:tcPr>
            <w:tcW w:w="982" w:type="dxa"/>
            <w:vMerge w:val="continue"/>
            <w:tcBorders>
              <w:top w:val="nil"/>
              <w:left w:val="single" w:color="000000" w:sz="8" w:space="0"/>
              <w:bottom w:val="single" w:color="000000" w:sz="8" w:space="0"/>
              <w:right w:val="single" w:color="000000" w:sz="8" w:space="0"/>
            </w:tcBorders>
            <w:vAlign w:val="center"/>
          </w:tcPr>
          <w:p w14:paraId="391B7AC3">
            <w:pPr>
              <w:jc w:val="center"/>
              <w:rPr>
                <w:rFonts w:hint="eastAsia" w:ascii="宋体" w:hAnsi="宋体" w:eastAsia="宋体" w:cs="宋体"/>
                <w:color w:val="000000"/>
                <w:sz w:val="22"/>
                <w:szCs w:val="22"/>
              </w:rPr>
            </w:pPr>
          </w:p>
        </w:tc>
        <w:tc>
          <w:tcPr>
            <w:tcW w:w="1080" w:type="dxa"/>
            <w:vMerge w:val="continue"/>
            <w:tcBorders>
              <w:top w:val="nil"/>
              <w:left w:val="nil"/>
              <w:bottom w:val="single" w:color="000000" w:sz="8" w:space="0"/>
              <w:right w:val="single" w:color="000000" w:sz="8" w:space="0"/>
            </w:tcBorders>
            <w:vAlign w:val="center"/>
          </w:tcPr>
          <w:p w14:paraId="6E415624">
            <w:pPr>
              <w:jc w:val="center"/>
              <w:rPr>
                <w:rFonts w:hint="eastAsia" w:ascii="宋体" w:hAnsi="宋体" w:eastAsia="宋体" w:cs="宋体"/>
                <w:color w:val="000000"/>
                <w:sz w:val="22"/>
                <w:szCs w:val="22"/>
              </w:rPr>
            </w:pPr>
          </w:p>
        </w:tc>
        <w:tc>
          <w:tcPr>
            <w:tcW w:w="2911" w:type="dxa"/>
            <w:tcBorders>
              <w:top w:val="nil"/>
              <w:left w:val="nil"/>
              <w:bottom w:val="single" w:color="000000" w:sz="8" w:space="0"/>
              <w:right w:val="single" w:color="000000" w:sz="8" w:space="0"/>
            </w:tcBorders>
            <w:vAlign w:val="center"/>
          </w:tcPr>
          <w:p w14:paraId="5B9291F8">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飞灰仓转运兼职叉车司机人员（1人）</w:t>
            </w:r>
          </w:p>
        </w:tc>
        <w:tc>
          <w:tcPr>
            <w:tcW w:w="1411" w:type="dxa"/>
            <w:tcBorders>
              <w:top w:val="nil"/>
              <w:left w:val="nil"/>
              <w:bottom w:val="single" w:color="000000" w:sz="8" w:space="0"/>
              <w:right w:val="single" w:color="000000" w:sz="8" w:space="0"/>
            </w:tcBorders>
            <w:vAlign w:val="center"/>
          </w:tcPr>
          <w:p w14:paraId="20F6D0B4">
            <w:pPr>
              <w:jc w:val="center"/>
              <w:rPr>
                <w:rFonts w:hint="eastAsia" w:ascii="宋体" w:hAnsi="宋体" w:eastAsia="宋体" w:cs="宋体"/>
                <w:color w:val="000000"/>
                <w:sz w:val="22"/>
                <w:szCs w:val="22"/>
              </w:rPr>
            </w:pPr>
          </w:p>
        </w:tc>
        <w:tc>
          <w:tcPr>
            <w:tcW w:w="1431" w:type="dxa"/>
            <w:tcBorders>
              <w:top w:val="nil"/>
              <w:left w:val="nil"/>
              <w:bottom w:val="single" w:color="000000" w:sz="8" w:space="0"/>
              <w:right w:val="single" w:color="000000" w:sz="8" w:space="0"/>
            </w:tcBorders>
            <w:vAlign w:val="center"/>
          </w:tcPr>
          <w:p w14:paraId="37B15BAA">
            <w:pPr>
              <w:jc w:val="center"/>
              <w:rPr>
                <w:rFonts w:hint="eastAsia" w:ascii="宋体" w:hAnsi="宋体" w:eastAsia="宋体" w:cs="宋体"/>
                <w:color w:val="000000"/>
                <w:sz w:val="22"/>
                <w:szCs w:val="22"/>
              </w:rPr>
            </w:pPr>
          </w:p>
        </w:tc>
        <w:tc>
          <w:tcPr>
            <w:tcW w:w="1742" w:type="dxa"/>
            <w:vMerge w:val="continue"/>
            <w:tcBorders>
              <w:top w:val="single" w:color="000000" w:sz="8" w:space="0"/>
              <w:left w:val="nil"/>
              <w:bottom w:val="single" w:color="000000" w:sz="8" w:space="0"/>
              <w:right w:val="single" w:color="000000" w:sz="8" w:space="0"/>
            </w:tcBorders>
            <w:vAlign w:val="center"/>
          </w:tcPr>
          <w:p w14:paraId="2A164D2B">
            <w:pPr>
              <w:jc w:val="center"/>
              <w:rPr>
                <w:rFonts w:hint="eastAsia" w:ascii="宋体" w:hAnsi="宋体" w:eastAsia="宋体" w:cs="宋体"/>
                <w:color w:val="000000"/>
                <w:sz w:val="22"/>
                <w:szCs w:val="22"/>
              </w:rPr>
            </w:pPr>
          </w:p>
        </w:tc>
      </w:tr>
      <w:tr w14:paraId="28304AF3">
        <w:tblPrEx>
          <w:tblCellMar>
            <w:top w:w="0" w:type="dxa"/>
            <w:left w:w="108" w:type="dxa"/>
            <w:bottom w:w="0" w:type="dxa"/>
            <w:right w:w="108" w:type="dxa"/>
          </w:tblCellMar>
        </w:tblPrEx>
        <w:trPr>
          <w:trHeight w:val="1650" w:hRule="atLeast"/>
        </w:trPr>
        <w:tc>
          <w:tcPr>
            <w:tcW w:w="982" w:type="dxa"/>
            <w:tcBorders>
              <w:top w:val="nil"/>
              <w:left w:val="single" w:color="000000" w:sz="8" w:space="0"/>
              <w:bottom w:val="single" w:color="000000" w:sz="8" w:space="0"/>
              <w:right w:val="single" w:color="000000" w:sz="8" w:space="0"/>
            </w:tcBorders>
            <w:vAlign w:val="center"/>
          </w:tcPr>
          <w:p w14:paraId="42AF9F46">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3991" w:type="dxa"/>
            <w:gridSpan w:val="2"/>
            <w:tcBorders>
              <w:top w:val="nil"/>
              <w:left w:val="nil"/>
              <w:bottom w:val="single" w:color="000000" w:sz="8" w:space="0"/>
              <w:right w:val="single" w:color="000000" w:sz="8" w:space="0"/>
            </w:tcBorders>
            <w:vAlign w:val="center"/>
          </w:tcPr>
          <w:p w14:paraId="667E1698">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作业车辆、机械设备、及维修维护费</w:t>
            </w:r>
          </w:p>
        </w:tc>
        <w:tc>
          <w:tcPr>
            <w:tcW w:w="1411" w:type="dxa"/>
            <w:tcBorders>
              <w:top w:val="nil"/>
              <w:left w:val="nil"/>
              <w:bottom w:val="single" w:color="000000" w:sz="8" w:space="0"/>
              <w:right w:val="single" w:color="000000" w:sz="8" w:space="0"/>
            </w:tcBorders>
            <w:vAlign w:val="center"/>
          </w:tcPr>
          <w:p w14:paraId="0E35C114">
            <w:pPr>
              <w:jc w:val="center"/>
              <w:rPr>
                <w:rFonts w:hint="eastAsia" w:ascii="宋体" w:hAnsi="宋体" w:eastAsia="宋体" w:cs="宋体"/>
                <w:color w:val="000000"/>
                <w:sz w:val="22"/>
                <w:szCs w:val="22"/>
              </w:rPr>
            </w:pPr>
          </w:p>
        </w:tc>
        <w:tc>
          <w:tcPr>
            <w:tcW w:w="1431" w:type="dxa"/>
            <w:tcBorders>
              <w:top w:val="nil"/>
              <w:left w:val="nil"/>
              <w:bottom w:val="single" w:color="000000" w:sz="8" w:space="0"/>
              <w:right w:val="single" w:color="000000" w:sz="8" w:space="0"/>
            </w:tcBorders>
            <w:vAlign w:val="center"/>
          </w:tcPr>
          <w:p w14:paraId="3F3CD968">
            <w:pPr>
              <w:jc w:val="center"/>
              <w:rPr>
                <w:rFonts w:hint="eastAsia" w:ascii="宋体" w:hAnsi="宋体" w:eastAsia="宋体" w:cs="宋体"/>
                <w:color w:val="000000"/>
                <w:sz w:val="22"/>
                <w:szCs w:val="22"/>
              </w:rPr>
            </w:pPr>
          </w:p>
        </w:tc>
        <w:tc>
          <w:tcPr>
            <w:tcW w:w="1742" w:type="dxa"/>
            <w:tcBorders>
              <w:top w:val="nil"/>
              <w:left w:val="nil"/>
              <w:bottom w:val="single" w:color="000000" w:sz="8" w:space="0"/>
              <w:right w:val="single" w:color="000000" w:sz="8" w:space="0"/>
            </w:tcBorders>
            <w:vAlign w:val="center"/>
          </w:tcPr>
          <w:p w14:paraId="1C6D4D04">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作业车辆、机械设备、燃油及维护维修（叉车等）</w:t>
            </w:r>
          </w:p>
        </w:tc>
      </w:tr>
      <w:tr w14:paraId="04754695">
        <w:tblPrEx>
          <w:tblCellMar>
            <w:top w:w="0" w:type="dxa"/>
            <w:left w:w="108" w:type="dxa"/>
            <w:bottom w:w="0" w:type="dxa"/>
            <w:right w:w="108" w:type="dxa"/>
          </w:tblCellMar>
        </w:tblPrEx>
        <w:trPr>
          <w:trHeight w:val="800" w:hRule="atLeast"/>
        </w:trPr>
        <w:tc>
          <w:tcPr>
            <w:tcW w:w="982" w:type="dxa"/>
            <w:tcBorders>
              <w:top w:val="nil"/>
              <w:left w:val="single" w:color="000000" w:sz="8" w:space="0"/>
              <w:bottom w:val="single" w:color="000000" w:sz="8" w:space="0"/>
              <w:right w:val="single" w:color="000000" w:sz="8" w:space="0"/>
            </w:tcBorders>
            <w:vAlign w:val="center"/>
          </w:tcPr>
          <w:p w14:paraId="5FB82477">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3991" w:type="dxa"/>
            <w:gridSpan w:val="2"/>
            <w:tcBorders>
              <w:top w:val="nil"/>
              <w:left w:val="nil"/>
              <w:bottom w:val="single" w:color="000000" w:sz="8" w:space="0"/>
              <w:right w:val="single" w:color="000000" w:sz="8" w:space="0"/>
            </w:tcBorders>
            <w:vAlign w:val="center"/>
          </w:tcPr>
          <w:p w14:paraId="365BE16B">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螯合剂</w:t>
            </w:r>
          </w:p>
        </w:tc>
        <w:tc>
          <w:tcPr>
            <w:tcW w:w="1411" w:type="dxa"/>
            <w:tcBorders>
              <w:top w:val="nil"/>
              <w:left w:val="nil"/>
              <w:bottom w:val="single" w:color="000000" w:sz="8" w:space="0"/>
              <w:right w:val="single" w:color="000000" w:sz="8" w:space="0"/>
            </w:tcBorders>
            <w:vAlign w:val="center"/>
          </w:tcPr>
          <w:p w14:paraId="7DE386D5">
            <w:pPr>
              <w:jc w:val="center"/>
              <w:rPr>
                <w:rFonts w:hint="eastAsia" w:ascii="宋体" w:hAnsi="宋体" w:eastAsia="宋体" w:cs="宋体"/>
                <w:color w:val="000000"/>
                <w:sz w:val="22"/>
                <w:szCs w:val="22"/>
              </w:rPr>
            </w:pPr>
          </w:p>
        </w:tc>
        <w:tc>
          <w:tcPr>
            <w:tcW w:w="1431" w:type="dxa"/>
            <w:tcBorders>
              <w:top w:val="nil"/>
              <w:left w:val="nil"/>
              <w:bottom w:val="single" w:color="000000" w:sz="8" w:space="0"/>
              <w:right w:val="single" w:color="000000" w:sz="8" w:space="0"/>
            </w:tcBorders>
            <w:vAlign w:val="center"/>
          </w:tcPr>
          <w:p w14:paraId="1CB885BA">
            <w:pPr>
              <w:jc w:val="center"/>
              <w:rPr>
                <w:rFonts w:hint="eastAsia" w:ascii="宋体" w:hAnsi="宋体" w:eastAsia="宋体" w:cs="宋体"/>
                <w:color w:val="000000"/>
                <w:sz w:val="22"/>
                <w:szCs w:val="22"/>
              </w:rPr>
            </w:pPr>
          </w:p>
        </w:tc>
        <w:tc>
          <w:tcPr>
            <w:tcW w:w="1742" w:type="dxa"/>
            <w:tcBorders>
              <w:top w:val="nil"/>
              <w:left w:val="nil"/>
              <w:bottom w:val="single" w:color="000000" w:sz="8" w:space="0"/>
              <w:right w:val="single" w:color="000000" w:sz="8" w:space="0"/>
            </w:tcBorders>
            <w:vAlign w:val="center"/>
          </w:tcPr>
          <w:p w14:paraId="6DEEFD38">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税率为 13%</w:t>
            </w:r>
          </w:p>
        </w:tc>
      </w:tr>
      <w:tr w14:paraId="0C8E7C43">
        <w:tblPrEx>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vAlign w:val="center"/>
          </w:tcPr>
          <w:p w14:paraId="222171B6">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3991" w:type="dxa"/>
            <w:gridSpan w:val="2"/>
            <w:tcBorders>
              <w:top w:val="nil"/>
              <w:left w:val="nil"/>
              <w:bottom w:val="single" w:color="000000" w:sz="8" w:space="0"/>
              <w:right w:val="single" w:color="000000" w:sz="8" w:space="0"/>
            </w:tcBorders>
            <w:vAlign w:val="center"/>
          </w:tcPr>
          <w:p w14:paraId="781413B4">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吨袋</w:t>
            </w:r>
          </w:p>
        </w:tc>
        <w:tc>
          <w:tcPr>
            <w:tcW w:w="1411" w:type="dxa"/>
            <w:tcBorders>
              <w:top w:val="nil"/>
              <w:left w:val="nil"/>
              <w:bottom w:val="single" w:color="000000" w:sz="8" w:space="0"/>
              <w:right w:val="single" w:color="000000" w:sz="8" w:space="0"/>
            </w:tcBorders>
            <w:vAlign w:val="center"/>
          </w:tcPr>
          <w:p w14:paraId="3544D042">
            <w:pPr>
              <w:jc w:val="center"/>
              <w:rPr>
                <w:rFonts w:hint="eastAsia" w:ascii="宋体" w:hAnsi="宋体" w:eastAsia="宋体" w:cs="宋体"/>
                <w:color w:val="000000"/>
                <w:sz w:val="22"/>
                <w:szCs w:val="22"/>
              </w:rPr>
            </w:pPr>
          </w:p>
        </w:tc>
        <w:tc>
          <w:tcPr>
            <w:tcW w:w="1431" w:type="dxa"/>
            <w:tcBorders>
              <w:top w:val="nil"/>
              <w:left w:val="nil"/>
              <w:bottom w:val="single" w:color="000000" w:sz="8" w:space="0"/>
              <w:right w:val="single" w:color="000000" w:sz="8" w:space="0"/>
            </w:tcBorders>
            <w:vAlign w:val="center"/>
          </w:tcPr>
          <w:p w14:paraId="2BF65529">
            <w:pPr>
              <w:jc w:val="center"/>
              <w:rPr>
                <w:rFonts w:hint="eastAsia" w:ascii="宋体" w:hAnsi="宋体" w:eastAsia="宋体" w:cs="宋体"/>
                <w:color w:val="000000"/>
                <w:sz w:val="22"/>
                <w:szCs w:val="22"/>
              </w:rPr>
            </w:pPr>
          </w:p>
        </w:tc>
        <w:tc>
          <w:tcPr>
            <w:tcW w:w="1742" w:type="dxa"/>
            <w:tcBorders>
              <w:top w:val="nil"/>
              <w:left w:val="nil"/>
              <w:bottom w:val="single" w:color="000000" w:sz="8" w:space="0"/>
              <w:right w:val="single" w:color="000000" w:sz="8" w:space="0"/>
            </w:tcBorders>
            <w:vAlign w:val="center"/>
          </w:tcPr>
          <w:p w14:paraId="242DCFED">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税率为 13%</w:t>
            </w:r>
          </w:p>
        </w:tc>
      </w:tr>
      <w:tr w14:paraId="14A84104">
        <w:tblPrEx>
          <w:tblCellMar>
            <w:top w:w="0" w:type="dxa"/>
            <w:left w:w="108" w:type="dxa"/>
            <w:bottom w:w="0" w:type="dxa"/>
            <w:right w:w="108" w:type="dxa"/>
          </w:tblCellMar>
        </w:tblPrEx>
        <w:trPr>
          <w:trHeight w:val="600" w:hRule="atLeast"/>
        </w:trPr>
        <w:tc>
          <w:tcPr>
            <w:tcW w:w="982" w:type="dxa"/>
            <w:tcBorders>
              <w:top w:val="nil"/>
              <w:left w:val="single" w:color="000000" w:sz="8" w:space="0"/>
              <w:bottom w:val="single" w:color="000000" w:sz="8" w:space="0"/>
              <w:right w:val="single" w:color="000000" w:sz="8" w:space="0"/>
            </w:tcBorders>
            <w:vAlign w:val="center"/>
          </w:tcPr>
          <w:p w14:paraId="5141BC8D">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3991" w:type="dxa"/>
            <w:gridSpan w:val="2"/>
            <w:tcBorders>
              <w:top w:val="nil"/>
              <w:left w:val="nil"/>
              <w:bottom w:val="single" w:color="000000" w:sz="8" w:space="0"/>
              <w:right w:val="single" w:color="000000" w:sz="8" w:space="0"/>
            </w:tcBorders>
            <w:vAlign w:val="center"/>
          </w:tcPr>
          <w:p w14:paraId="61EB5F7D">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合计</w:t>
            </w:r>
          </w:p>
        </w:tc>
        <w:tc>
          <w:tcPr>
            <w:tcW w:w="2842" w:type="dxa"/>
            <w:gridSpan w:val="2"/>
            <w:tcBorders>
              <w:top w:val="nil"/>
              <w:left w:val="nil"/>
              <w:bottom w:val="single" w:color="000000" w:sz="8" w:space="0"/>
              <w:right w:val="single" w:color="000000" w:sz="8" w:space="0"/>
            </w:tcBorders>
            <w:vAlign w:val="center"/>
          </w:tcPr>
          <w:p w14:paraId="1DBB1854">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万元/年</w:t>
            </w:r>
          </w:p>
        </w:tc>
        <w:tc>
          <w:tcPr>
            <w:tcW w:w="1742" w:type="dxa"/>
            <w:tcBorders>
              <w:top w:val="nil"/>
              <w:left w:val="nil"/>
              <w:bottom w:val="single" w:color="000000" w:sz="8" w:space="0"/>
              <w:right w:val="single" w:color="000000" w:sz="8" w:space="0"/>
            </w:tcBorders>
            <w:vAlign w:val="center"/>
          </w:tcPr>
          <w:p w14:paraId="2DA100CB">
            <w:pPr>
              <w:jc w:val="center"/>
              <w:rPr>
                <w:rFonts w:hint="eastAsia" w:ascii="宋体" w:hAnsi="宋体" w:eastAsia="宋体" w:cs="宋体"/>
                <w:color w:val="000000"/>
                <w:sz w:val="22"/>
                <w:szCs w:val="22"/>
              </w:rPr>
            </w:pPr>
          </w:p>
        </w:tc>
      </w:tr>
      <w:tr w14:paraId="31D49795">
        <w:tblPrEx>
          <w:tblCellMar>
            <w:top w:w="0" w:type="dxa"/>
            <w:left w:w="108" w:type="dxa"/>
            <w:bottom w:w="0" w:type="dxa"/>
            <w:right w:w="108" w:type="dxa"/>
          </w:tblCellMar>
        </w:tblPrEx>
        <w:trPr>
          <w:trHeight w:val="760" w:hRule="atLeast"/>
        </w:trPr>
        <w:tc>
          <w:tcPr>
            <w:tcW w:w="982" w:type="dxa"/>
            <w:tcBorders>
              <w:top w:val="nil"/>
              <w:left w:val="single" w:color="000000" w:sz="8" w:space="0"/>
              <w:bottom w:val="single" w:color="000000" w:sz="8" w:space="0"/>
              <w:right w:val="single" w:color="000000" w:sz="8" w:space="0"/>
            </w:tcBorders>
            <w:vAlign w:val="center"/>
          </w:tcPr>
          <w:p w14:paraId="15D3050E">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w:t>
            </w:r>
          </w:p>
        </w:tc>
        <w:tc>
          <w:tcPr>
            <w:tcW w:w="3991" w:type="dxa"/>
            <w:gridSpan w:val="2"/>
            <w:tcBorders>
              <w:top w:val="nil"/>
              <w:left w:val="nil"/>
              <w:bottom w:val="single" w:color="000000" w:sz="8" w:space="0"/>
              <w:right w:val="single" w:color="000000" w:sz="8" w:space="0"/>
            </w:tcBorders>
            <w:vAlign w:val="center"/>
          </w:tcPr>
          <w:p w14:paraId="5B75B251">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飞灰固化处理服务综合单价</w:t>
            </w:r>
          </w:p>
        </w:tc>
        <w:tc>
          <w:tcPr>
            <w:tcW w:w="2842" w:type="dxa"/>
            <w:gridSpan w:val="2"/>
            <w:tcBorders>
              <w:top w:val="nil"/>
              <w:left w:val="nil"/>
              <w:bottom w:val="single" w:color="000000" w:sz="8" w:space="0"/>
              <w:right w:val="single" w:color="000000" w:sz="8" w:space="0"/>
            </w:tcBorders>
            <w:vAlign w:val="center"/>
          </w:tcPr>
          <w:p w14:paraId="4D46AB29">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元/吨</w:t>
            </w:r>
          </w:p>
        </w:tc>
        <w:tc>
          <w:tcPr>
            <w:tcW w:w="1742" w:type="dxa"/>
            <w:tcBorders>
              <w:top w:val="nil"/>
              <w:left w:val="nil"/>
              <w:bottom w:val="single" w:color="000000" w:sz="8" w:space="0"/>
              <w:right w:val="single" w:color="000000" w:sz="8" w:space="0"/>
            </w:tcBorders>
            <w:vAlign w:val="center"/>
          </w:tcPr>
          <w:p w14:paraId="2B2126A7">
            <w:pPr>
              <w:jc w:val="center"/>
              <w:rPr>
                <w:rFonts w:hint="eastAsia" w:ascii="宋体" w:hAnsi="宋体" w:eastAsia="宋体" w:cs="宋体"/>
                <w:color w:val="000000"/>
                <w:sz w:val="22"/>
                <w:szCs w:val="22"/>
              </w:rPr>
            </w:pPr>
          </w:p>
        </w:tc>
      </w:tr>
      <w:tr w14:paraId="677AF866">
        <w:tblPrEx>
          <w:tblCellMar>
            <w:top w:w="0" w:type="dxa"/>
            <w:left w:w="108" w:type="dxa"/>
            <w:bottom w:w="0" w:type="dxa"/>
            <w:right w:w="108" w:type="dxa"/>
          </w:tblCellMar>
        </w:tblPrEx>
        <w:trPr>
          <w:trHeight w:val="600" w:hRule="atLeast"/>
        </w:trPr>
        <w:tc>
          <w:tcPr>
            <w:tcW w:w="9557" w:type="dxa"/>
            <w:gridSpan w:val="6"/>
            <w:tcBorders>
              <w:top w:val="nil"/>
              <w:left w:val="single" w:color="000000" w:sz="8" w:space="0"/>
              <w:bottom w:val="single" w:color="000000" w:sz="8" w:space="0"/>
              <w:right w:val="single" w:color="000000" w:sz="8" w:space="0"/>
            </w:tcBorders>
            <w:vAlign w:val="center"/>
          </w:tcPr>
          <w:p w14:paraId="43C7EA79">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税率为 13%</w:t>
            </w:r>
          </w:p>
        </w:tc>
      </w:tr>
    </w:tbl>
    <w:p w14:paraId="73985617">
      <w:pPr>
        <w:pStyle w:val="3"/>
        <w:rPr>
          <w:rFonts w:hint="eastAsia" w:cs="宋体"/>
          <w:b/>
          <w:bCs/>
          <w:szCs w:val="24"/>
          <w:lang w:bidi="ar"/>
        </w:rPr>
      </w:pPr>
    </w:p>
    <w:p w14:paraId="362BA5EB">
      <w:pPr>
        <w:pStyle w:val="3"/>
        <w:rPr>
          <w:rFonts w:hint="eastAsia" w:cs="宋体"/>
          <w:b/>
          <w:bCs/>
          <w:szCs w:val="24"/>
          <w:lang w:bidi="ar"/>
        </w:rPr>
      </w:pPr>
    </w:p>
    <w:p w14:paraId="4389020F">
      <w:pPr>
        <w:pStyle w:val="3"/>
        <w:rPr>
          <w:rFonts w:hint="eastAsia" w:cs="宋体"/>
          <w:b/>
          <w:bCs/>
          <w:szCs w:val="24"/>
          <w:lang w:bidi="ar"/>
        </w:rPr>
      </w:pPr>
    </w:p>
    <w:p w14:paraId="7A20E38B">
      <w:pPr>
        <w:pStyle w:val="3"/>
        <w:rPr>
          <w:rFonts w:hint="eastAsia" w:cs="宋体"/>
          <w:b/>
          <w:bCs/>
          <w:szCs w:val="24"/>
          <w:lang w:bidi="ar"/>
        </w:rPr>
      </w:pPr>
    </w:p>
    <w:p w14:paraId="5AC6537D">
      <w:pPr>
        <w:pStyle w:val="94"/>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开标一览表</w:t>
      </w:r>
    </w:p>
    <w:p w14:paraId="057DD654">
      <w:pPr>
        <w:spacing w:line="360" w:lineRule="auto"/>
        <w:ind w:firstLine="4400"/>
        <w:rPr>
          <w:rFonts w:hint="eastAsia" w:ascii="宋体" w:hAnsi="宋体" w:eastAsia="宋体" w:cs="宋体"/>
          <w:b/>
          <w:color w:val="000000" w:themeColor="text1"/>
          <w:szCs w:val="24"/>
          <w14:textFill>
            <w14:solidFill>
              <w14:schemeClr w14:val="tx1"/>
            </w14:solidFill>
          </w14:textFill>
        </w:rPr>
      </w:pPr>
    </w:p>
    <w:p w14:paraId="479407EB">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招标编号：ITB-LK-WCFD-YY-fw-2026-001</w:t>
      </w:r>
    </w:p>
    <w:p w14:paraId="15008D14">
      <w:pPr>
        <w:spacing w:line="360" w:lineRule="auto"/>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投标人名称：                                   日期：</w:t>
      </w:r>
    </w:p>
    <w:p w14:paraId="5130EF6A">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项目名称：吴川项目</w:t>
      </w:r>
    </w:p>
    <w:p w14:paraId="5D5D835B">
      <w:pPr>
        <w:tabs>
          <w:tab w:val="left" w:pos="420"/>
          <w:tab w:val="left" w:pos="7710"/>
        </w:tabs>
        <w:adjustRightInd w:val="0"/>
        <w:snapToGrid w:val="0"/>
        <w:spacing w:line="360" w:lineRule="auto"/>
        <w:ind w:right="-288" w:rightChars="-120"/>
        <w:rPr>
          <w:rFonts w:hint="eastAsia" w:ascii="宋体" w:hAnsi="宋体" w:cs="仿宋"/>
          <w:b/>
          <w:szCs w:val="21"/>
        </w:rPr>
      </w:pPr>
      <w:r>
        <w:rPr>
          <w:rFonts w:hint="eastAsia" w:ascii="宋体" w:hAnsi="宋体" w:cs="仿宋"/>
          <w:b/>
          <w:szCs w:val="21"/>
        </w:rPr>
        <w:t>主要车辆及人员要求</w:t>
      </w:r>
    </w:p>
    <w:tbl>
      <w:tblPr>
        <w:tblStyle w:val="48"/>
        <w:tblW w:w="9555" w:type="dxa"/>
        <w:tblInd w:w="93" w:type="dxa"/>
        <w:tblLayout w:type="autofit"/>
        <w:tblCellMar>
          <w:top w:w="0" w:type="dxa"/>
          <w:left w:w="108" w:type="dxa"/>
          <w:bottom w:w="0" w:type="dxa"/>
          <w:right w:w="108" w:type="dxa"/>
        </w:tblCellMar>
      </w:tblPr>
      <w:tblGrid>
        <w:gridCol w:w="981"/>
        <w:gridCol w:w="1080"/>
        <w:gridCol w:w="2910"/>
        <w:gridCol w:w="1411"/>
        <w:gridCol w:w="1431"/>
        <w:gridCol w:w="1742"/>
      </w:tblGrid>
      <w:tr w14:paraId="46B33F39">
        <w:tblPrEx>
          <w:tblCellMar>
            <w:top w:w="0" w:type="dxa"/>
            <w:left w:w="108" w:type="dxa"/>
            <w:bottom w:w="0" w:type="dxa"/>
            <w:right w:w="108" w:type="dxa"/>
          </w:tblCellMar>
        </w:tblPrEx>
        <w:trPr>
          <w:trHeight w:val="460" w:hRule="atLeast"/>
        </w:trPr>
        <w:tc>
          <w:tcPr>
            <w:tcW w:w="982" w:type="dxa"/>
            <w:tcBorders>
              <w:top w:val="single" w:color="000000" w:sz="8" w:space="0"/>
              <w:left w:val="single" w:color="000000" w:sz="8" w:space="0"/>
              <w:bottom w:val="single" w:color="000000" w:sz="8" w:space="0"/>
              <w:right w:val="single" w:color="000000" w:sz="8" w:space="0"/>
            </w:tcBorders>
            <w:vAlign w:val="center"/>
          </w:tcPr>
          <w:p w14:paraId="67852FB2">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序号</w:t>
            </w:r>
          </w:p>
        </w:tc>
        <w:tc>
          <w:tcPr>
            <w:tcW w:w="3991" w:type="dxa"/>
            <w:gridSpan w:val="2"/>
            <w:tcBorders>
              <w:top w:val="single" w:color="000000" w:sz="8" w:space="0"/>
              <w:left w:val="nil"/>
              <w:bottom w:val="single" w:color="000000" w:sz="8" w:space="0"/>
              <w:right w:val="single" w:color="000000" w:sz="8" w:space="0"/>
            </w:tcBorders>
            <w:vAlign w:val="center"/>
          </w:tcPr>
          <w:p w14:paraId="7B83A03E">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名称</w:t>
            </w:r>
          </w:p>
        </w:tc>
        <w:tc>
          <w:tcPr>
            <w:tcW w:w="1411" w:type="dxa"/>
            <w:tcBorders>
              <w:top w:val="single" w:color="000000" w:sz="8" w:space="0"/>
              <w:left w:val="nil"/>
              <w:bottom w:val="single" w:color="000000" w:sz="8" w:space="0"/>
              <w:right w:val="single" w:color="000000" w:sz="8" w:space="0"/>
            </w:tcBorders>
            <w:vAlign w:val="center"/>
          </w:tcPr>
          <w:p w14:paraId="03A76FE6">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元/月</w:t>
            </w:r>
          </w:p>
        </w:tc>
        <w:tc>
          <w:tcPr>
            <w:tcW w:w="1431" w:type="dxa"/>
            <w:tcBorders>
              <w:top w:val="single" w:color="000000" w:sz="8" w:space="0"/>
              <w:left w:val="nil"/>
              <w:bottom w:val="single" w:color="000000" w:sz="8" w:space="0"/>
              <w:right w:val="single" w:color="000000" w:sz="8" w:space="0"/>
            </w:tcBorders>
            <w:vAlign w:val="center"/>
          </w:tcPr>
          <w:p w14:paraId="497C8A52">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元/年</w:t>
            </w:r>
          </w:p>
        </w:tc>
        <w:tc>
          <w:tcPr>
            <w:tcW w:w="1742" w:type="dxa"/>
            <w:tcBorders>
              <w:top w:val="single" w:color="000000" w:sz="8" w:space="0"/>
              <w:left w:val="nil"/>
              <w:bottom w:val="single" w:color="000000" w:sz="8" w:space="0"/>
              <w:right w:val="single" w:color="000000" w:sz="8" w:space="0"/>
            </w:tcBorders>
            <w:vAlign w:val="center"/>
          </w:tcPr>
          <w:p w14:paraId="49D3355E">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备注</w:t>
            </w:r>
          </w:p>
        </w:tc>
      </w:tr>
      <w:tr w14:paraId="327C3CF5">
        <w:tblPrEx>
          <w:tblCellMar>
            <w:top w:w="0" w:type="dxa"/>
            <w:left w:w="108" w:type="dxa"/>
            <w:bottom w:w="0" w:type="dxa"/>
            <w:right w:w="108" w:type="dxa"/>
          </w:tblCellMar>
        </w:tblPrEx>
        <w:trPr>
          <w:trHeight w:val="680" w:hRule="atLeast"/>
        </w:trPr>
        <w:tc>
          <w:tcPr>
            <w:tcW w:w="982" w:type="dxa"/>
            <w:vMerge w:val="restart"/>
            <w:tcBorders>
              <w:top w:val="nil"/>
              <w:left w:val="single" w:color="000000" w:sz="8" w:space="0"/>
              <w:bottom w:val="single" w:color="000000" w:sz="8" w:space="0"/>
              <w:right w:val="single" w:color="000000" w:sz="8" w:space="0"/>
            </w:tcBorders>
            <w:vAlign w:val="center"/>
          </w:tcPr>
          <w:p w14:paraId="658D5302">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1080" w:type="dxa"/>
            <w:vMerge w:val="restart"/>
            <w:tcBorders>
              <w:top w:val="nil"/>
              <w:left w:val="nil"/>
              <w:bottom w:val="single" w:color="000000" w:sz="8" w:space="0"/>
              <w:right w:val="single" w:color="000000" w:sz="8" w:space="0"/>
            </w:tcBorders>
            <w:vAlign w:val="center"/>
          </w:tcPr>
          <w:p w14:paraId="79B663BE">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人员费用</w:t>
            </w:r>
          </w:p>
        </w:tc>
        <w:tc>
          <w:tcPr>
            <w:tcW w:w="2911" w:type="dxa"/>
            <w:tcBorders>
              <w:top w:val="nil"/>
              <w:left w:val="nil"/>
              <w:bottom w:val="single" w:color="000000" w:sz="8" w:space="0"/>
              <w:right w:val="single" w:color="000000" w:sz="8" w:space="0"/>
            </w:tcBorders>
            <w:vAlign w:val="center"/>
          </w:tcPr>
          <w:p w14:paraId="651D5F11">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项目经理（1人）</w:t>
            </w:r>
          </w:p>
        </w:tc>
        <w:tc>
          <w:tcPr>
            <w:tcW w:w="1411" w:type="dxa"/>
            <w:tcBorders>
              <w:top w:val="nil"/>
              <w:left w:val="nil"/>
              <w:bottom w:val="single" w:color="000000" w:sz="8" w:space="0"/>
              <w:right w:val="single" w:color="000000" w:sz="8" w:space="0"/>
            </w:tcBorders>
            <w:vAlign w:val="center"/>
          </w:tcPr>
          <w:p w14:paraId="32D4F082">
            <w:pPr>
              <w:jc w:val="center"/>
              <w:rPr>
                <w:rFonts w:hint="eastAsia" w:ascii="宋体" w:hAnsi="宋体" w:eastAsia="宋体" w:cs="宋体"/>
                <w:color w:val="000000"/>
                <w:sz w:val="22"/>
                <w:szCs w:val="22"/>
              </w:rPr>
            </w:pPr>
          </w:p>
        </w:tc>
        <w:tc>
          <w:tcPr>
            <w:tcW w:w="1431" w:type="dxa"/>
            <w:tcBorders>
              <w:top w:val="nil"/>
              <w:left w:val="nil"/>
              <w:bottom w:val="single" w:color="000000" w:sz="8" w:space="0"/>
              <w:right w:val="single" w:color="000000" w:sz="8" w:space="0"/>
            </w:tcBorders>
            <w:vAlign w:val="center"/>
          </w:tcPr>
          <w:p w14:paraId="2E1B8332">
            <w:pPr>
              <w:jc w:val="center"/>
              <w:rPr>
                <w:rFonts w:hint="eastAsia" w:ascii="宋体" w:hAnsi="宋体" w:eastAsia="宋体" w:cs="宋体"/>
                <w:color w:val="000000"/>
                <w:sz w:val="22"/>
                <w:szCs w:val="22"/>
              </w:rPr>
            </w:pPr>
          </w:p>
        </w:tc>
        <w:tc>
          <w:tcPr>
            <w:tcW w:w="1742" w:type="dxa"/>
            <w:vMerge w:val="restart"/>
            <w:tcBorders>
              <w:top w:val="single" w:color="000000" w:sz="8" w:space="0"/>
              <w:left w:val="nil"/>
              <w:bottom w:val="single" w:color="000000" w:sz="8" w:space="0"/>
              <w:right w:val="single" w:color="000000" w:sz="8" w:space="0"/>
            </w:tcBorders>
            <w:vAlign w:val="center"/>
          </w:tcPr>
          <w:p w14:paraId="7084D214">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含工资、五险一金、福利等费用</w:t>
            </w:r>
          </w:p>
        </w:tc>
      </w:tr>
      <w:tr w14:paraId="4727282F">
        <w:tblPrEx>
          <w:tblCellMar>
            <w:top w:w="0" w:type="dxa"/>
            <w:left w:w="108" w:type="dxa"/>
            <w:bottom w:w="0" w:type="dxa"/>
            <w:right w:w="108" w:type="dxa"/>
          </w:tblCellMar>
        </w:tblPrEx>
        <w:trPr>
          <w:trHeight w:val="780" w:hRule="atLeast"/>
        </w:trPr>
        <w:tc>
          <w:tcPr>
            <w:tcW w:w="982" w:type="dxa"/>
            <w:vMerge w:val="continue"/>
            <w:tcBorders>
              <w:top w:val="nil"/>
              <w:left w:val="single" w:color="000000" w:sz="8" w:space="0"/>
              <w:bottom w:val="single" w:color="000000" w:sz="8" w:space="0"/>
              <w:right w:val="single" w:color="000000" w:sz="8" w:space="0"/>
            </w:tcBorders>
            <w:vAlign w:val="center"/>
          </w:tcPr>
          <w:p w14:paraId="633B47DC">
            <w:pPr>
              <w:jc w:val="center"/>
              <w:rPr>
                <w:rFonts w:hint="eastAsia" w:ascii="宋体" w:hAnsi="宋体" w:eastAsia="宋体" w:cs="宋体"/>
                <w:color w:val="000000"/>
                <w:sz w:val="22"/>
                <w:szCs w:val="22"/>
              </w:rPr>
            </w:pPr>
          </w:p>
        </w:tc>
        <w:tc>
          <w:tcPr>
            <w:tcW w:w="1080" w:type="dxa"/>
            <w:vMerge w:val="continue"/>
            <w:tcBorders>
              <w:top w:val="nil"/>
              <w:left w:val="nil"/>
              <w:bottom w:val="single" w:color="000000" w:sz="8" w:space="0"/>
              <w:right w:val="single" w:color="000000" w:sz="8" w:space="0"/>
            </w:tcBorders>
            <w:vAlign w:val="center"/>
          </w:tcPr>
          <w:p w14:paraId="7440C059">
            <w:pPr>
              <w:jc w:val="center"/>
              <w:rPr>
                <w:rFonts w:hint="eastAsia" w:ascii="宋体" w:hAnsi="宋体" w:eastAsia="宋体" w:cs="宋体"/>
                <w:color w:val="000000"/>
                <w:sz w:val="22"/>
                <w:szCs w:val="22"/>
              </w:rPr>
            </w:pPr>
          </w:p>
        </w:tc>
        <w:tc>
          <w:tcPr>
            <w:tcW w:w="2911" w:type="dxa"/>
            <w:tcBorders>
              <w:top w:val="nil"/>
              <w:left w:val="nil"/>
              <w:bottom w:val="single" w:color="000000" w:sz="8" w:space="0"/>
              <w:right w:val="single" w:color="000000" w:sz="8" w:space="0"/>
            </w:tcBorders>
            <w:vAlign w:val="center"/>
          </w:tcPr>
          <w:p w14:paraId="73201914">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飞灰稳定化操作及设备维护区域卫生人员（3人）</w:t>
            </w:r>
          </w:p>
        </w:tc>
        <w:tc>
          <w:tcPr>
            <w:tcW w:w="1411" w:type="dxa"/>
            <w:tcBorders>
              <w:top w:val="nil"/>
              <w:left w:val="nil"/>
              <w:bottom w:val="single" w:color="000000" w:sz="8" w:space="0"/>
              <w:right w:val="single" w:color="000000" w:sz="8" w:space="0"/>
            </w:tcBorders>
            <w:vAlign w:val="center"/>
          </w:tcPr>
          <w:p w14:paraId="316F131F">
            <w:pPr>
              <w:jc w:val="center"/>
              <w:rPr>
                <w:rFonts w:hint="eastAsia" w:ascii="宋体" w:hAnsi="宋体" w:eastAsia="宋体" w:cs="宋体"/>
                <w:color w:val="000000"/>
                <w:sz w:val="22"/>
                <w:szCs w:val="22"/>
              </w:rPr>
            </w:pPr>
          </w:p>
        </w:tc>
        <w:tc>
          <w:tcPr>
            <w:tcW w:w="1431" w:type="dxa"/>
            <w:tcBorders>
              <w:top w:val="nil"/>
              <w:left w:val="nil"/>
              <w:bottom w:val="single" w:color="000000" w:sz="8" w:space="0"/>
              <w:right w:val="single" w:color="000000" w:sz="8" w:space="0"/>
            </w:tcBorders>
            <w:vAlign w:val="center"/>
          </w:tcPr>
          <w:p w14:paraId="0D3D53AC">
            <w:pPr>
              <w:jc w:val="center"/>
              <w:rPr>
                <w:rFonts w:hint="eastAsia" w:ascii="宋体" w:hAnsi="宋体" w:eastAsia="宋体" w:cs="宋体"/>
                <w:color w:val="000000"/>
                <w:sz w:val="22"/>
                <w:szCs w:val="22"/>
              </w:rPr>
            </w:pPr>
          </w:p>
        </w:tc>
        <w:tc>
          <w:tcPr>
            <w:tcW w:w="1742" w:type="dxa"/>
            <w:vMerge w:val="continue"/>
            <w:tcBorders>
              <w:top w:val="single" w:color="000000" w:sz="8" w:space="0"/>
              <w:left w:val="nil"/>
              <w:bottom w:val="single" w:color="000000" w:sz="8" w:space="0"/>
              <w:right w:val="single" w:color="000000" w:sz="8" w:space="0"/>
            </w:tcBorders>
            <w:vAlign w:val="center"/>
          </w:tcPr>
          <w:p w14:paraId="04BFA4EF">
            <w:pPr>
              <w:jc w:val="center"/>
              <w:rPr>
                <w:rFonts w:hint="eastAsia" w:ascii="宋体" w:hAnsi="宋体" w:eastAsia="宋体" w:cs="宋体"/>
                <w:color w:val="000000"/>
                <w:sz w:val="22"/>
                <w:szCs w:val="22"/>
              </w:rPr>
            </w:pPr>
          </w:p>
        </w:tc>
      </w:tr>
      <w:tr w14:paraId="6520227E">
        <w:tblPrEx>
          <w:tblCellMar>
            <w:top w:w="0" w:type="dxa"/>
            <w:left w:w="108" w:type="dxa"/>
            <w:bottom w:w="0" w:type="dxa"/>
            <w:right w:w="108" w:type="dxa"/>
          </w:tblCellMar>
        </w:tblPrEx>
        <w:trPr>
          <w:trHeight w:val="860" w:hRule="atLeast"/>
        </w:trPr>
        <w:tc>
          <w:tcPr>
            <w:tcW w:w="982" w:type="dxa"/>
            <w:vMerge w:val="continue"/>
            <w:tcBorders>
              <w:top w:val="nil"/>
              <w:left w:val="single" w:color="000000" w:sz="8" w:space="0"/>
              <w:bottom w:val="single" w:color="000000" w:sz="8" w:space="0"/>
              <w:right w:val="single" w:color="000000" w:sz="8" w:space="0"/>
            </w:tcBorders>
            <w:vAlign w:val="center"/>
          </w:tcPr>
          <w:p w14:paraId="443D783A">
            <w:pPr>
              <w:jc w:val="center"/>
              <w:rPr>
                <w:rFonts w:hint="eastAsia" w:ascii="宋体" w:hAnsi="宋体" w:eastAsia="宋体" w:cs="宋体"/>
                <w:color w:val="000000"/>
                <w:sz w:val="22"/>
                <w:szCs w:val="22"/>
              </w:rPr>
            </w:pPr>
          </w:p>
        </w:tc>
        <w:tc>
          <w:tcPr>
            <w:tcW w:w="1080" w:type="dxa"/>
            <w:vMerge w:val="continue"/>
            <w:tcBorders>
              <w:top w:val="nil"/>
              <w:left w:val="nil"/>
              <w:bottom w:val="single" w:color="000000" w:sz="8" w:space="0"/>
              <w:right w:val="single" w:color="000000" w:sz="8" w:space="0"/>
            </w:tcBorders>
            <w:vAlign w:val="center"/>
          </w:tcPr>
          <w:p w14:paraId="053A2B28">
            <w:pPr>
              <w:jc w:val="center"/>
              <w:rPr>
                <w:rFonts w:hint="eastAsia" w:ascii="宋体" w:hAnsi="宋体" w:eastAsia="宋体" w:cs="宋体"/>
                <w:color w:val="000000"/>
                <w:sz w:val="22"/>
                <w:szCs w:val="22"/>
              </w:rPr>
            </w:pPr>
          </w:p>
        </w:tc>
        <w:tc>
          <w:tcPr>
            <w:tcW w:w="2911" w:type="dxa"/>
            <w:tcBorders>
              <w:top w:val="nil"/>
              <w:left w:val="nil"/>
              <w:bottom w:val="single" w:color="000000" w:sz="8" w:space="0"/>
              <w:right w:val="single" w:color="000000" w:sz="8" w:space="0"/>
            </w:tcBorders>
            <w:vAlign w:val="center"/>
          </w:tcPr>
          <w:p w14:paraId="23964818">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飞灰仓转运兼职叉车司机人员（1人）</w:t>
            </w:r>
          </w:p>
        </w:tc>
        <w:tc>
          <w:tcPr>
            <w:tcW w:w="1411" w:type="dxa"/>
            <w:tcBorders>
              <w:top w:val="nil"/>
              <w:left w:val="nil"/>
              <w:bottom w:val="single" w:color="000000" w:sz="8" w:space="0"/>
              <w:right w:val="single" w:color="000000" w:sz="8" w:space="0"/>
            </w:tcBorders>
            <w:vAlign w:val="center"/>
          </w:tcPr>
          <w:p w14:paraId="57587AC9">
            <w:pPr>
              <w:jc w:val="center"/>
              <w:rPr>
                <w:rFonts w:hint="eastAsia" w:ascii="宋体" w:hAnsi="宋体" w:eastAsia="宋体" w:cs="宋体"/>
                <w:color w:val="000000"/>
                <w:sz w:val="22"/>
                <w:szCs w:val="22"/>
              </w:rPr>
            </w:pPr>
          </w:p>
        </w:tc>
        <w:tc>
          <w:tcPr>
            <w:tcW w:w="1431" w:type="dxa"/>
            <w:tcBorders>
              <w:top w:val="nil"/>
              <w:left w:val="nil"/>
              <w:bottom w:val="single" w:color="000000" w:sz="8" w:space="0"/>
              <w:right w:val="single" w:color="000000" w:sz="8" w:space="0"/>
            </w:tcBorders>
            <w:vAlign w:val="center"/>
          </w:tcPr>
          <w:p w14:paraId="786B6874">
            <w:pPr>
              <w:jc w:val="center"/>
              <w:rPr>
                <w:rFonts w:hint="eastAsia" w:ascii="宋体" w:hAnsi="宋体" w:eastAsia="宋体" w:cs="宋体"/>
                <w:color w:val="000000"/>
                <w:sz w:val="22"/>
                <w:szCs w:val="22"/>
              </w:rPr>
            </w:pPr>
          </w:p>
        </w:tc>
        <w:tc>
          <w:tcPr>
            <w:tcW w:w="1742" w:type="dxa"/>
            <w:vMerge w:val="continue"/>
            <w:tcBorders>
              <w:top w:val="single" w:color="000000" w:sz="8" w:space="0"/>
              <w:left w:val="nil"/>
              <w:bottom w:val="single" w:color="000000" w:sz="8" w:space="0"/>
              <w:right w:val="single" w:color="000000" w:sz="8" w:space="0"/>
            </w:tcBorders>
            <w:vAlign w:val="center"/>
          </w:tcPr>
          <w:p w14:paraId="4B931882">
            <w:pPr>
              <w:jc w:val="center"/>
              <w:rPr>
                <w:rFonts w:hint="eastAsia" w:ascii="宋体" w:hAnsi="宋体" w:eastAsia="宋体" w:cs="宋体"/>
                <w:color w:val="000000"/>
                <w:sz w:val="22"/>
                <w:szCs w:val="22"/>
              </w:rPr>
            </w:pPr>
          </w:p>
        </w:tc>
      </w:tr>
      <w:tr w14:paraId="6D95CB14">
        <w:tblPrEx>
          <w:tblCellMar>
            <w:top w:w="0" w:type="dxa"/>
            <w:left w:w="108" w:type="dxa"/>
            <w:bottom w:w="0" w:type="dxa"/>
            <w:right w:w="108" w:type="dxa"/>
          </w:tblCellMar>
        </w:tblPrEx>
        <w:trPr>
          <w:trHeight w:val="1650" w:hRule="atLeast"/>
        </w:trPr>
        <w:tc>
          <w:tcPr>
            <w:tcW w:w="982" w:type="dxa"/>
            <w:tcBorders>
              <w:top w:val="nil"/>
              <w:left w:val="single" w:color="000000" w:sz="8" w:space="0"/>
              <w:bottom w:val="single" w:color="000000" w:sz="8" w:space="0"/>
              <w:right w:val="single" w:color="000000" w:sz="8" w:space="0"/>
            </w:tcBorders>
            <w:vAlign w:val="center"/>
          </w:tcPr>
          <w:p w14:paraId="1CD831DD">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3991" w:type="dxa"/>
            <w:gridSpan w:val="2"/>
            <w:tcBorders>
              <w:top w:val="nil"/>
              <w:left w:val="nil"/>
              <w:bottom w:val="single" w:color="000000" w:sz="8" w:space="0"/>
              <w:right w:val="single" w:color="000000" w:sz="8" w:space="0"/>
            </w:tcBorders>
            <w:vAlign w:val="center"/>
          </w:tcPr>
          <w:p w14:paraId="2CFDA8F4">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作业车辆、机械设备、及维修维护费</w:t>
            </w:r>
          </w:p>
        </w:tc>
        <w:tc>
          <w:tcPr>
            <w:tcW w:w="1411" w:type="dxa"/>
            <w:tcBorders>
              <w:top w:val="nil"/>
              <w:left w:val="nil"/>
              <w:bottom w:val="single" w:color="000000" w:sz="8" w:space="0"/>
              <w:right w:val="single" w:color="000000" w:sz="8" w:space="0"/>
            </w:tcBorders>
            <w:vAlign w:val="center"/>
          </w:tcPr>
          <w:p w14:paraId="1A475EED">
            <w:pPr>
              <w:jc w:val="center"/>
              <w:rPr>
                <w:rFonts w:hint="eastAsia" w:ascii="宋体" w:hAnsi="宋体" w:eastAsia="宋体" w:cs="宋体"/>
                <w:color w:val="000000"/>
                <w:sz w:val="22"/>
                <w:szCs w:val="22"/>
              </w:rPr>
            </w:pPr>
          </w:p>
        </w:tc>
        <w:tc>
          <w:tcPr>
            <w:tcW w:w="1431" w:type="dxa"/>
            <w:tcBorders>
              <w:top w:val="nil"/>
              <w:left w:val="nil"/>
              <w:bottom w:val="single" w:color="000000" w:sz="8" w:space="0"/>
              <w:right w:val="single" w:color="000000" w:sz="8" w:space="0"/>
            </w:tcBorders>
            <w:vAlign w:val="center"/>
          </w:tcPr>
          <w:p w14:paraId="3F116C1C">
            <w:pPr>
              <w:jc w:val="center"/>
              <w:rPr>
                <w:rFonts w:hint="eastAsia" w:ascii="宋体" w:hAnsi="宋体" w:eastAsia="宋体" w:cs="宋体"/>
                <w:color w:val="000000"/>
                <w:sz w:val="22"/>
                <w:szCs w:val="22"/>
              </w:rPr>
            </w:pPr>
          </w:p>
        </w:tc>
        <w:tc>
          <w:tcPr>
            <w:tcW w:w="1742" w:type="dxa"/>
            <w:tcBorders>
              <w:top w:val="nil"/>
              <w:left w:val="nil"/>
              <w:bottom w:val="single" w:color="000000" w:sz="8" w:space="0"/>
              <w:right w:val="single" w:color="000000" w:sz="8" w:space="0"/>
            </w:tcBorders>
            <w:vAlign w:val="center"/>
          </w:tcPr>
          <w:p w14:paraId="1A6D48FD">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作业车辆、机械设备、燃油及维护维修（叉车等）</w:t>
            </w:r>
          </w:p>
        </w:tc>
      </w:tr>
      <w:tr w14:paraId="17AD7965">
        <w:tblPrEx>
          <w:tblCellMar>
            <w:top w:w="0" w:type="dxa"/>
            <w:left w:w="108" w:type="dxa"/>
            <w:bottom w:w="0" w:type="dxa"/>
            <w:right w:w="108" w:type="dxa"/>
          </w:tblCellMar>
        </w:tblPrEx>
        <w:trPr>
          <w:trHeight w:val="800" w:hRule="atLeast"/>
        </w:trPr>
        <w:tc>
          <w:tcPr>
            <w:tcW w:w="982" w:type="dxa"/>
            <w:tcBorders>
              <w:top w:val="nil"/>
              <w:left w:val="single" w:color="000000" w:sz="8" w:space="0"/>
              <w:bottom w:val="single" w:color="000000" w:sz="8" w:space="0"/>
              <w:right w:val="single" w:color="000000" w:sz="8" w:space="0"/>
            </w:tcBorders>
            <w:vAlign w:val="center"/>
          </w:tcPr>
          <w:p w14:paraId="269CAECF">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3991" w:type="dxa"/>
            <w:gridSpan w:val="2"/>
            <w:tcBorders>
              <w:top w:val="nil"/>
              <w:left w:val="nil"/>
              <w:bottom w:val="single" w:color="000000" w:sz="8" w:space="0"/>
              <w:right w:val="single" w:color="000000" w:sz="8" w:space="0"/>
            </w:tcBorders>
            <w:vAlign w:val="center"/>
          </w:tcPr>
          <w:p w14:paraId="63EB0E71">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螯合剂</w:t>
            </w:r>
          </w:p>
        </w:tc>
        <w:tc>
          <w:tcPr>
            <w:tcW w:w="1411" w:type="dxa"/>
            <w:tcBorders>
              <w:top w:val="nil"/>
              <w:left w:val="nil"/>
              <w:bottom w:val="single" w:color="000000" w:sz="8" w:space="0"/>
              <w:right w:val="single" w:color="000000" w:sz="8" w:space="0"/>
            </w:tcBorders>
            <w:vAlign w:val="center"/>
          </w:tcPr>
          <w:p w14:paraId="4B95FDAF">
            <w:pPr>
              <w:jc w:val="center"/>
              <w:rPr>
                <w:rFonts w:hint="eastAsia" w:ascii="宋体" w:hAnsi="宋体" w:eastAsia="宋体" w:cs="宋体"/>
                <w:color w:val="000000"/>
                <w:sz w:val="22"/>
                <w:szCs w:val="22"/>
              </w:rPr>
            </w:pPr>
          </w:p>
        </w:tc>
        <w:tc>
          <w:tcPr>
            <w:tcW w:w="1431" w:type="dxa"/>
            <w:tcBorders>
              <w:top w:val="nil"/>
              <w:left w:val="nil"/>
              <w:bottom w:val="single" w:color="000000" w:sz="8" w:space="0"/>
              <w:right w:val="single" w:color="000000" w:sz="8" w:space="0"/>
            </w:tcBorders>
            <w:vAlign w:val="center"/>
          </w:tcPr>
          <w:p w14:paraId="54320D59">
            <w:pPr>
              <w:jc w:val="center"/>
              <w:rPr>
                <w:rFonts w:hint="eastAsia" w:ascii="宋体" w:hAnsi="宋体" w:eastAsia="宋体" w:cs="宋体"/>
                <w:color w:val="000000"/>
                <w:sz w:val="22"/>
                <w:szCs w:val="22"/>
              </w:rPr>
            </w:pPr>
          </w:p>
        </w:tc>
        <w:tc>
          <w:tcPr>
            <w:tcW w:w="1742" w:type="dxa"/>
            <w:tcBorders>
              <w:top w:val="nil"/>
              <w:left w:val="nil"/>
              <w:bottom w:val="single" w:color="000000" w:sz="8" w:space="0"/>
              <w:right w:val="single" w:color="000000" w:sz="8" w:space="0"/>
            </w:tcBorders>
            <w:vAlign w:val="center"/>
          </w:tcPr>
          <w:p w14:paraId="1F36E2F4">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税率为 13%</w:t>
            </w:r>
          </w:p>
        </w:tc>
      </w:tr>
      <w:tr w14:paraId="2A9D219A">
        <w:tblPrEx>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vAlign w:val="center"/>
          </w:tcPr>
          <w:p w14:paraId="7516C77E">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3991" w:type="dxa"/>
            <w:gridSpan w:val="2"/>
            <w:tcBorders>
              <w:top w:val="nil"/>
              <w:left w:val="nil"/>
              <w:bottom w:val="single" w:color="000000" w:sz="8" w:space="0"/>
              <w:right w:val="single" w:color="000000" w:sz="8" w:space="0"/>
            </w:tcBorders>
            <w:vAlign w:val="center"/>
          </w:tcPr>
          <w:p w14:paraId="05F028A2">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吨袋</w:t>
            </w:r>
          </w:p>
        </w:tc>
        <w:tc>
          <w:tcPr>
            <w:tcW w:w="1411" w:type="dxa"/>
            <w:tcBorders>
              <w:top w:val="nil"/>
              <w:left w:val="nil"/>
              <w:bottom w:val="single" w:color="000000" w:sz="8" w:space="0"/>
              <w:right w:val="single" w:color="000000" w:sz="8" w:space="0"/>
            </w:tcBorders>
            <w:vAlign w:val="center"/>
          </w:tcPr>
          <w:p w14:paraId="69538C11">
            <w:pPr>
              <w:jc w:val="center"/>
              <w:rPr>
                <w:rFonts w:hint="eastAsia" w:ascii="宋体" w:hAnsi="宋体" w:eastAsia="宋体" w:cs="宋体"/>
                <w:color w:val="000000"/>
                <w:sz w:val="22"/>
                <w:szCs w:val="22"/>
              </w:rPr>
            </w:pPr>
          </w:p>
        </w:tc>
        <w:tc>
          <w:tcPr>
            <w:tcW w:w="1431" w:type="dxa"/>
            <w:tcBorders>
              <w:top w:val="nil"/>
              <w:left w:val="nil"/>
              <w:bottom w:val="single" w:color="000000" w:sz="8" w:space="0"/>
              <w:right w:val="single" w:color="000000" w:sz="8" w:space="0"/>
            </w:tcBorders>
            <w:vAlign w:val="center"/>
          </w:tcPr>
          <w:p w14:paraId="45315160">
            <w:pPr>
              <w:jc w:val="center"/>
              <w:rPr>
                <w:rFonts w:hint="eastAsia" w:ascii="宋体" w:hAnsi="宋体" w:eastAsia="宋体" w:cs="宋体"/>
                <w:color w:val="000000"/>
                <w:sz w:val="22"/>
                <w:szCs w:val="22"/>
              </w:rPr>
            </w:pPr>
          </w:p>
        </w:tc>
        <w:tc>
          <w:tcPr>
            <w:tcW w:w="1742" w:type="dxa"/>
            <w:tcBorders>
              <w:top w:val="nil"/>
              <w:left w:val="nil"/>
              <w:bottom w:val="single" w:color="000000" w:sz="8" w:space="0"/>
              <w:right w:val="single" w:color="000000" w:sz="8" w:space="0"/>
            </w:tcBorders>
            <w:vAlign w:val="center"/>
          </w:tcPr>
          <w:p w14:paraId="100BAA9E">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税率为 13%</w:t>
            </w:r>
          </w:p>
        </w:tc>
      </w:tr>
      <w:tr w14:paraId="7BE74D1E">
        <w:tblPrEx>
          <w:tblCellMar>
            <w:top w:w="0" w:type="dxa"/>
            <w:left w:w="108" w:type="dxa"/>
            <w:bottom w:w="0" w:type="dxa"/>
            <w:right w:w="108" w:type="dxa"/>
          </w:tblCellMar>
        </w:tblPrEx>
        <w:trPr>
          <w:trHeight w:val="600" w:hRule="atLeast"/>
        </w:trPr>
        <w:tc>
          <w:tcPr>
            <w:tcW w:w="982" w:type="dxa"/>
            <w:tcBorders>
              <w:top w:val="nil"/>
              <w:left w:val="single" w:color="000000" w:sz="8" w:space="0"/>
              <w:bottom w:val="single" w:color="000000" w:sz="8" w:space="0"/>
              <w:right w:val="single" w:color="000000" w:sz="8" w:space="0"/>
            </w:tcBorders>
            <w:vAlign w:val="center"/>
          </w:tcPr>
          <w:p w14:paraId="691EDF3E">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3991" w:type="dxa"/>
            <w:gridSpan w:val="2"/>
            <w:tcBorders>
              <w:top w:val="nil"/>
              <w:left w:val="nil"/>
              <w:bottom w:val="single" w:color="000000" w:sz="8" w:space="0"/>
              <w:right w:val="single" w:color="000000" w:sz="8" w:space="0"/>
            </w:tcBorders>
            <w:vAlign w:val="center"/>
          </w:tcPr>
          <w:p w14:paraId="6067469B">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合计</w:t>
            </w:r>
          </w:p>
        </w:tc>
        <w:tc>
          <w:tcPr>
            <w:tcW w:w="2842" w:type="dxa"/>
            <w:gridSpan w:val="2"/>
            <w:tcBorders>
              <w:top w:val="nil"/>
              <w:left w:val="nil"/>
              <w:bottom w:val="single" w:color="000000" w:sz="8" w:space="0"/>
              <w:right w:val="single" w:color="000000" w:sz="8" w:space="0"/>
            </w:tcBorders>
            <w:vAlign w:val="center"/>
          </w:tcPr>
          <w:p w14:paraId="750C9686">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万元/年</w:t>
            </w:r>
          </w:p>
        </w:tc>
        <w:tc>
          <w:tcPr>
            <w:tcW w:w="1742" w:type="dxa"/>
            <w:tcBorders>
              <w:top w:val="nil"/>
              <w:left w:val="nil"/>
              <w:bottom w:val="single" w:color="000000" w:sz="8" w:space="0"/>
              <w:right w:val="single" w:color="000000" w:sz="8" w:space="0"/>
            </w:tcBorders>
            <w:vAlign w:val="center"/>
          </w:tcPr>
          <w:p w14:paraId="7EF79A4C">
            <w:pPr>
              <w:jc w:val="center"/>
              <w:rPr>
                <w:rFonts w:hint="eastAsia" w:ascii="宋体" w:hAnsi="宋体" w:eastAsia="宋体" w:cs="宋体"/>
                <w:color w:val="000000"/>
                <w:sz w:val="22"/>
                <w:szCs w:val="22"/>
              </w:rPr>
            </w:pPr>
          </w:p>
        </w:tc>
      </w:tr>
      <w:tr w14:paraId="42C866E2">
        <w:tblPrEx>
          <w:tblCellMar>
            <w:top w:w="0" w:type="dxa"/>
            <w:left w:w="108" w:type="dxa"/>
            <w:bottom w:w="0" w:type="dxa"/>
            <w:right w:w="108" w:type="dxa"/>
          </w:tblCellMar>
        </w:tblPrEx>
        <w:trPr>
          <w:trHeight w:val="760" w:hRule="atLeast"/>
        </w:trPr>
        <w:tc>
          <w:tcPr>
            <w:tcW w:w="982" w:type="dxa"/>
            <w:tcBorders>
              <w:top w:val="nil"/>
              <w:left w:val="single" w:color="000000" w:sz="8" w:space="0"/>
              <w:bottom w:val="single" w:color="000000" w:sz="8" w:space="0"/>
              <w:right w:val="single" w:color="000000" w:sz="8" w:space="0"/>
            </w:tcBorders>
            <w:vAlign w:val="center"/>
          </w:tcPr>
          <w:p w14:paraId="73866D4F">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w:t>
            </w:r>
          </w:p>
        </w:tc>
        <w:tc>
          <w:tcPr>
            <w:tcW w:w="3991" w:type="dxa"/>
            <w:gridSpan w:val="2"/>
            <w:tcBorders>
              <w:top w:val="nil"/>
              <w:left w:val="nil"/>
              <w:bottom w:val="single" w:color="000000" w:sz="8" w:space="0"/>
              <w:right w:val="single" w:color="000000" w:sz="8" w:space="0"/>
            </w:tcBorders>
            <w:vAlign w:val="center"/>
          </w:tcPr>
          <w:p w14:paraId="071C61D2">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飞灰固化处理服务综合单价</w:t>
            </w:r>
          </w:p>
        </w:tc>
        <w:tc>
          <w:tcPr>
            <w:tcW w:w="2842" w:type="dxa"/>
            <w:gridSpan w:val="2"/>
            <w:tcBorders>
              <w:top w:val="nil"/>
              <w:left w:val="nil"/>
              <w:bottom w:val="single" w:color="000000" w:sz="8" w:space="0"/>
              <w:right w:val="single" w:color="000000" w:sz="8" w:space="0"/>
            </w:tcBorders>
            <w:vAlign w:val="center"/>
          </w:tcPr>
          <w:p w14:paraId="66E15AFA">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元/吨</w:t>
            </w:r>
          </w:p>
        </w:tc>
        <w:tc>
          <w:tcPr>
            <w:tcW w:w="1742" w:type="dxa"/>
            <w:tcBorders>
              <w:top w:val="nil"/>
              <w:left w:val="nil"/>
              <w:bottom w:val="single" w:color="000000" w:sz="8" w:space="0"/>
              <w:right w:val="single" w:color="000000" w:sz="8" w:space="0"/>
            </w:tcBorders>
            <w:vAlign w:val="center"/>
          </w:tcPr>
          <w:p w14:paraId="6E6C10AB">
            <w:pPr>
              <w:jc w:val="center"/>
              <w:rPr>
                <w:rFonts w:hint="eastAsia" w:ascii="宋体" w:hAnsi="宋体" w:eastAsia="宋体" w:cs="宋体"/>
                <w:color w:val="000000"/>
                <w:sz w:val="22"/>
                <w:szCs w:val="22"/>
              </w:rPr>
            </w:pPr>
          </w:p>
        </w:tc>
      </w:tr>
      <w:tr w14:paraId="6669C6B0">
        <w:tblPrEx>
          <w:tblCellMar>
            <w:top w:w="0" w:type="dxa"/>
            <w:left w:w="108" w:type="dxa"/>
            <w:bottom w:w="0" w:type="dxa"/>
            <w:right w:w="108" w:type="dxa"/>
          </w:tblCellMar>
        </w:tblPrEx>
        <w:trPr>
          <w:trHeight w:val="600" w:hRule="atLeast"/>
        </w:trPr>
        <w:tc>
          <w:tcPr>
            <w:tcW w:w="9557" w:type="dxa"/>
            <w:gridSpan w:val="6"/>
            <w:tcBorders>
              <w:top w:val="nil"/>
              <w:left w:val="single" w:color="000000" w:sz="8" w:space="0"/>
              <w:bottom w:val="single" w:color="000000" w:sz="8" w:space="0"/>
              <w:right w:val="single" w:color="000000" w:sz="8" w:space="0"/>
            </w:tcBorders>
            <w:vAlign w:val="center"/>
          </w:tcPr>
          <w:p w14:paraId="1D1FC232">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税率为 13%</w:t>
            </w:r>
          </w:p>
        </w:tc>
      </w:tr>
    </w:tbl>
    <w:p w14:paraId="02F83591">
      <w:pPr>
        <w:pStyle w:val="3"/>
        <w:rPr>
          <w:rFonts w:hint="eastAsia" w:cs="宋体"/>
          <w:b/>
          <w:bCs/>
          <w:szCs w:val="24"/>
          <w:lang w:bidi="ar"/>
        </w:rPr>
      </w:pPr>
    </w:p>
    <w:p w14:paraId="072BB72C">
      <w:pPr>
        <w:pStyle w:val="3"/>
        <w:rPr>
          <w:rFonts w:hint="eastAsia" w:cs="宋体"/>
          <w:b/>
          <w:bCs/>
          <w:szCs w:val="24"/>
          <w:lang w:bidi="ar"/>
        </w:rPr>
      </w:pPr>
    </w:p>
    <w:p w14:paraId="331ECF01">
      <w:pPr>
        <w:pStyle w:val="3"/>
        <w:rPr>
          <w:rFonts w:hint="eastAsia" w:cs="宋体"/>
          <w:b/>
          <w:bCs/>
          <w:szCs w:val="24"/>
          <w:lang w:bidi="ar"/>
        </w:rPr>
      </w:pPr>
    </w:p>
    <w:p w14:paraId="3FF836CA">
      <w:pPr>
        <w:pStyle w:val="3"/>
        <w:rPr>
          <w:rFonts w:hint="eastAsia" w:cs="宋体"/>
          <w:b/>
          <w:bCs/>
          <w:szCs w:val="24"/>
          <w:lang w:bidi="ar"/>
        </w:rPr>
      </w:pPr>
    </w:p>
    <w:p w14:paraId="305AC162">
      <w:pPr>
        <w:pStyle w:val="3"/>
        <w:rPr>
          <w:rFonts w:hint="eastAsia" w:cs="宋体"/>
          <w:b/>
          <w:bCs/>
          <w:szCs w:val="24"/>
          <w:lang w:bidi="ar"/>
        </w:rPr>
      </w:pPr>
    </w:p>
    <w:p w14:paraId="24B98E3E">
      <w:pPr>
        <w:pStyle w:val="3"/>
        <w:rPr>
          <w:rFonts w:hint="eastAsia" w:cs="宋体"/>
          <w:b/>
          <w:bCs/>
          <w:szCs w:val="24"/>
          <w:lang w:bidi="ar"/>
        </w:rPr>
      </w:pPr>
    </w:p>
    <w:p w14:paraId="7D92987E">
      <w:pPr>
        <w:ind w:left="89" w:leftChars="1" w:hanging="87" w:hangingChars="36"/>
        <w:rPr>
          <w:rFonts w:hint="eastAsia" w:ascii="宋体" w:hAnsi="宋体" w:eastAsia="宋体" w:cs="宋体"/>
          <w:color w:val="000000" w:themeColor="text1"/>
          <w:szCs w:val="24"/>
          <w14:textFill>
            <w14:solidFill>
              <w14:schemeClr w14:val="tx1"/>
            </w14:solidFill>
          </w14:textFill>
        </w:rPr>
      </w:pPr>
      <w:bookmarkStart w:id="413" w:name="_Toc174521078"/>
      <w:bookmarkStart w:id="414" w:name="_Toc176085647"/>
      <w:r>
        <w:rPr>
          <w:rFonts w:hint="eastAsia" w:ascii="宋体" w:hAnsi="宋体" w:eastAsia="宋体" w:cs="宋体"/>
          <w:b/>
          <w:bCs/>
          <w:color w:val="000000" w:themeColor="text1"/>
          <w:szCs w:val="24"/>
          <w14:textFill>
            <w14:solidFill>
              <w14:schemeClr w14:val="tx1"/>
            </w14:solidFill>
          </w14:textFill>
        </w:rPr>
        <w:t>附录5-1-5报价表格式</w:t>
      </w:r>
      <w:bookmarkEnd w:id="413"/>
      <w:bookmarkEnd w:id="414"/>
      <w:r>
        <w:rPr>
          <w:rFonts w:hint="eastAsia" w:ascii="宋体" w:hAnsi="宋体" w:eastAsia="宋体" w:cs="宋体"/>
          <w:b/>
          <w:bCs/>
          <w:color w:val="000000" w:themeColor="text1"/>
          <w:szCs w:val="24"/>
          <w14:textFill>
            <w14:solidFill>
              <w14:schemeClr w14:val="tx1"/>
            </w14:solidFill>
          </w14:textFill>
        </w:rPr>
        <w:t xml:space="preserve"> 参考模板</w:t>
      </w:r>
    </w:p>
    <w:p w14:paraId="7BF10DE9">
      <w:pPr>
        <w:pStyle w:val="3"/>
        <w:rPr>
          <w:rFonts w:hint="eastAsia" w:cs="宋体"/>
          <w:b/>
          <w:bCs/>
          <w:szCs w:val="24"/>
          <w:lang w:bidi="ar"/>
        </w:rPr>
      </w:pPr>
      <w:bookmarkStart w:id="415" w:name="_Toc176085649"/>
      <w:bookmarkStart w:id="416" w:name="_Toc456799804"/>
      <w:bookmarkStart w:id="417" w:name="_Toc456799696"/>
      <w:bookmarkStart w:id="418" w:name="_Toc456799956"/>
      <w:r>
        <w:rPr>
          <w:rFonts w:hint="eastAsia" w:cs="宋体"/>
          <w:b/>
          <w:bCs/>
          <w:szCs w:val="24"/>
          <w:lang w:bidi="ar"/>
        </w:rPr>
        <w:t>朗坤环保能源（茂名）有限公司</w:t>
      </w:r>
    </w:p>
    <w:p w14:paraId="69AF9276">
      <w:pPr>
        <w:pStyle w:val="3"/>
        <w:rPr>
          <w:rFonts w:hint="eastAsia"/>
        </w:rPr>
      </w:pPr>
      <w:r>
        <w:rPr>
          <w:rFonts w:hint="eastAsia" w:cs="宋体"/>
          <w:b/>
          <w:bCs/>
          <w:szCs w:val="24"/>
          <w:lang w:bidi="ar"/>
        </w:rPr>
        <w:t>工程名称：飞灰固化处理服务</w:t>
      </w:r>
    </w:p>
    <w:tbl>
      <w:tblPr>
        <w:tblStyle w:val="48"/>
        <w:tblW w:w="8843" w:type="dxa"/>
        <w:tblInd w:w="93" w:type="dxa"/>
        <w:tblLayout w:type="autofit"/>
        <w:tblCellMar>
          <w:top w:w="0" w:type="dxa"/>
          <w:left w:w="108" w:type="dxa"/>
          <w:bottom w:w="0" w:type="dxa"/>
          <w:right w:w="108" w:type="dxa"/>
        </w:tblCellMar>
      </w:tblPr>
      <w:tblGrid>
        <w:gridCol w:w="1080"/>
        <w:gridCol w:w="3188"/>
        <w:gridCol w:w="2715"/>
        <w:gridCol w:w="1860"/>
      </w:tblGrid>
      <w:tr w14:paraId="7C6F7782">
        <w:tblPrEx>
          <w:tblCellMar>
            <w:top w:w="0" w:type="dxa"/>
            <w:left w:w="108" w:type="dxa"/>
            <w:bottom w:w="0" w:type="dxa"/>
            <w:right w:w="108" w:type="dxa"/>
          </w:tblCellMar>
        </w:tblPrEx>
        <w:trPr>
          <w:trHeight w:val="530" w:hRule="atLeast"/>
        </w:trPr>
        <w:tc>
          <w:tcPr>
            <w:tcW w:w="1080" w:type="dxa"/>
            <w:tcBorders>
              <w:top w:val="single" w:color="000000" w:sz="4" w:space="0"/>
              <w:left w:val="single" w:color="000000" w:sz="4" w:space="0"/>
              <w:bottom w:val="single" w:color="000000" w:sz="4" w:space="0"/>
              <w:right w:val="single" w:color="000000" w:sz="4" w:space="0"/>
            </w:tcBorders>
            <w:vAlign w:val="center"/>
          </w:tcPr>
          <w:p w14:paraId="0F92AB96">
            <w:pPr>
              <w:jc w:val="center"/>
              <w:textAlignment w:val="center"/>
              <w:rPr>
                <w:rFonts w:hint="eastAsia" w:ascii="宋体" w:hAnsi="宋体" w:cs="宋体"/>
                <w:sz w:val="22"/>
                <w:szCs w:val="22"/>
              </w:rPr>
            </w:pPr>
            <w:r>
              <w:rPr>
                <w:rFonts w:hint="eastAsia" w:ascii="宋体" w:hAnsi="宋体" w:cs="宋体"/>
                <w:sz w:val="22"/>
                <w:szCs w:val="22"/>
                <w:lang w:bidi="ar"/>
              </w:rPr>
              <w:t>序号</w:t>
            </w:r>
          </w:p>
        </w:tc>
        <w:tc>
          <w:tcPr>
            <w:tcW w:w="3188" w:type="dxa"/>
            <w:tcBorders>
              <w:top w:val="single" w:color="000000" w:sz="4" w:space="0"/>
              <w:left w:val="single" w:color="000000" w:sz="4" w:space="0"/>
              <w:bottom w:val="single" w:color="000000" w:sz="4" w:space="0"/>
              <w:right w:val="single" w:color="000000" w:sz="4" w:space="0"/>
            </w:tcBorders>
            <w:vAlign w:val="center"/>
          </w:tcPr>
          <w:p w14:paraId="08CD507E">
            <w:pPr>
              <w:jc w:val="center"/>
              <w:textAlignment w:val="center"/>
              <w:rPr>
                <w:rFonts w:hint="eastAsia" w:ascii="宋体" w:hAnsi="宋体" w:cs="宋体"/>
                <w:sz w:val="22"/>
                <w:szCs w:val="22"/>
              </w:rPr>
            </w:pPr>
            <w:r>
              <w:rPr>
                <w:rFonts w:hint="eastAsia" w:ascii="宋体" w:hAnsi="宋体" w:cs="宋体"/>
                <w:sz w:val="22"/>
                <w:szCs w:val="22"/>
                <w:lang w:bidi="ar"/>
              </w:rPr>
              <w:t>名称</w:t>
            </w:r>
          </w:p>
        </w:tc>
        <w:tc>
          <w:tcPr>
            <w:tcW w:w="2715" w:type="dxa"/>
            <w:tcBorders>
              <w:top w:val="single" w:color="000000" w:sz="4" w:space="0"/>
              <w:left w:val="single" w:color="000000" w:sz="4" w:space="0"/>
              <w:bottom w:val="single" w:color="000000" w:sz="4" w:space="0"/>
              <w:right w:val="single" w:color="000000" w:sz="4" w:space="0"/>
            </w:tcBorders>
            <w:vAlign w:val="center"/>
          </w:tcPr>
          <w:p w14:paraId="4795B1B0">
            <w:pPr>
              <w:jc w:val="center"/>
              <w:textAlignment w:val="center"/>
              <w:rPr>
                <w:rFonts w:hint="eastAsia" w:ascii="宋体" w:hAnsi="宋体" w:cs="宋体"/>
                <w:sz w:val="22"/>
                <w:szCs w:val="22"/>
              </w:rPr>
            </w:pPr>
            <w:r>
              <w:rPr>
                <w:rFonts w:hint="eastAsia" w:ascii="宋体" w:hAnsi="宋体" w:cs="宋体"/>
                <w:sz w:val="22"/>
                <w:szCs w:val="22"/>
                <w:lang w:bidi="ar"/>
              </w:rPr>
              <w:t>综合单价</w:t>
            </w:r>
          </w:p>
          <w:p w14:paraId="54CE8474">
            <w:pPr>
              <w:jc w:val="center"/>
              <w:textAlignment w:val="center"/>
              <w:rPr>
                <w:rFonts w:hint="eastAsia" w:ascii="宋体" w:hAnsi="宋体" w:cs="宋体"/>
                <w:sz w:val="22"/>
                <w:szCs w:val="22"/>
              </w:rPr>
            </w:pPr>
          </w:p>
        </w:tc>
        <w:tc>
          <w:tcPr>
            <w:tcW w:w="1860" w:type="dxa"/>
            <w:tcBorders>
              <w:top w:val="single" w:color="000000" w:sz="4" w:space="0"/>
              <w:left w:val="single" w:color="000000" w:sz="4" w:space="0"/>
              <w:bottom w:val="single" w:color="000000" w:sz="4" w:space="0"/>
              <w:right w:val="single" w:color="000000" w:sz="4" w:space="0"/>
            </w:tcBorders>
            <w:vAlign w:val="center"/>
          </w:tcPr>
          <w:p w14:paraId="11BC35FA">
            <w:pPr>
              <w:jc w:val="center"/>
              <w:textAlignment w:val="center"/>
              <w:rPr>
                <w:rFonts w:hint="eastAsia" w:ascii="宋体" w:hAnsi="宋体" w:cs="宋体"/>
                <w:sz w:val="22"/>
                <w:szCs w:val="22"/>
              </w:rPr>
            </w:pPr>
            <w:r>
              <w:rPr>
                <w:rFonts w:hint="eastAsia" w:ascii="宋体" w:hAnsi="宋体" w:cs="宋体"/>
                <w:sz w:val="22"/>
                <w:szCs w:val="22"/>
                <w:lang w:bidi="ar"/>
              </w:rPr>
              <w:t>备注</w:t>
            </w:r>
          </w:p>
        </w:tc>
      </w:tr>
      <w:tr w14:paraId="395F0451">
        <w:tblPrEx>
          <w:tblCellMar>
            <w:top w:w="0" w:type="dxa"/>
            <w:left w:w="108" w:type="dxa"/>
            <w:bottom w:w="0" w:type="dxa"/>
            <w:right w:w="108" w:type="dxa"/>
          </w:tblCellMar>
        </w:tblPrEx>
        <w:trPr>
          <w:trHeight w:val="890" w:hRule="atLeast"/>
        </w:trPr>
        <w:tc>
          <w:tcPr>
            <w:tcW w:w="1080" w:type="dxa"/>
            <w:tcBorders>
              <w:top w:val="single" w:color="000000" w:sz="4" w:space="0"/>
              <w:left w:val="single" w:color="000000" w:sz="4" w:space="0"/>
              <w:bottom w:val="single" w:color="000000" w:sz="4" w:space="0"/>
              <w:right w:val="single" w:color="000000" w:sz="4" w:space="0"/>
            </w:tcBorders>
            <w:vAlign w:val="center"/>
          </w:tcPr>
          <w:p w14:paraId="5B489F33">
            <w:pPr>
              <w:jc w:val="center"/>
              <w:textAlignment w:val="center"/>
              <w:rPr>
                <w:rFonts w:hint="eastAsia" w:ascii="宋体" w:hAnsi="宋体" w:cs="宋体"/>
                <w:sz w:val="22"/>
                <w:szCs w:val="22"/>
              </w:rPr>
            </w:pPr>
            <w:r>
              <w:rPr>
                <w:rFonts w:hint="eastAsia" w:ascii="宋体" w:hAnsi="宋体" w:cs="宋体"/>
                <w:sz w:val="22"/>
                <w:szCs w:val="22"/>
                <w:lang w:bidi="ar"/>
              </w:rPr>
              <w:t>1</w:t>
            </w:r>
          </w:p>
        </w:tc>
        <w:tc>
          <w:tcPr>
            <w:tcW w:w="3188" w:type="dxa"/>
            <w:tcBorders>
              <w:top w:val="single" w:color="000000" w:sz="4" w:space="0"/>
              <w:left w:val="single" w:color="000000" w:sz="4" w:space="0"/>
              <w:bottom w:val="single" w:color="000000" w:sz="4" w:space="0"/>
              <w:right w:val="single" w:color="000000" w:sz="4" w:space="0"/>
            </w:tcBorders>
            <w:vAlign w:val="center"/>
          </w:tcPr>
          <w:p w14:paraId="0C1053CD">
            <w:pPr>
              <w:textAlignment w:val="center"/>
              <w:rPr>
                <w:rFonts w:hint="eastAsia" w:ascii="宋体" w:hAnsi="宋体" w:cs="宋体"/>
                <w:sz w:val="22"/>
                <w:szCs w:val="22"/>
              </w:rPr>
            </w:pPr>
            <w:r>
              <w:rPr>
                <w:rFonts w:hint="eastAsia" w:ascii="宋体" w:hAnsi="宋体" w:cs="宋体"/>
                <w:sz w:val="22"/>
                <w:szCs w:val="22"/>
              </w:rPr>
              <w:t>高州项目飞灰固化处理服务</w:t>
            </w:r>
          </w:p>
        </w:tc>
        <w:tc>
          <w:tcPr>
            <w:tcW w:w="2715" w:type="dxa"/>
            <w:tcBorders>
              <w:top w:val="single" w:color="000000" w:sz="4" w:space="0"/>
              <w:left w:val="single" w:color="000000" w:sz="4" w:space="0"/>
              <w:bottom w:val="single" w:color="000000" w:sz="4" w:space="0"/>
              <w:right w:val="single" w:color="000000" w:sz="4" w:space="0"/>
            </w:tcBorders>
            <w:vAlign w:val="center"/>
          </w:tcPr>
          <w:p w14:paraId="696BA501">
            <w:pPr>
              <w:jc w:val="center"/>
              <w:rPr>
                <w:rFonts w:hint="eastAsia" w:ascii="宋体" w:hAnsi="宋体" w:cs="宋体"/>
                <w:sz w:val="22"/>
                <w:szCs w:val="22"/>
              </w:rPr>
            </w:pPr>
            <w:r>
              <w:rPr>
                <w:rFonts w:hint="eastAsia" w:ascii="宋体" w:hAnsi="宋体" w:cs="宋体"/>
                <w:sz w:val="22"/>
                <w:szCs w:val="22"/>
                <w:lang w:bidi="ar"/>
              </w:rPr>
              <w:t>元/吨</w:t>
            </w:r>
          </w:p>
        </w:tc>
        <w:tc>
          <w:tcPr>
            <w:tcW w:w="1860" w:type="dxa"/>
            <w:tcBorders>
              <w:top w:val="single" w:color="000000" w:sz="4" w:space="0"/>
              <w:left w:val="single" w:color="000000" w:sz="4" w:space="0"/>
              <w:bottom w:val="single" w:color="000000" w:sz="4" w:space="0"/>
              <w:right w:val="single" w:color="000000" w:sz="4" w:space="0"/>
            </w:tcBorders>
            <w:vAlign w:val="center"/>
          </w:tcPr>
          <w:p w14:paraId="61A606C8">
            <w:pPr>
              <w:jc w:val="center"/>
              <w:textAlignment w:val="center"/>
              <w:rPr>
                <w:rFonts w:hint="eastAsia" w:ascii="宋体" w:hAnsi="宋体" w:cs="宋体"/>
                <w:sz w:val="22"/>
                <w:szCs w:val="22"/>
              </w:rPr>
            </w:pPr>
          </w:p>
        </w:tc>
      </w:tr>
      <w:tr w14:paraId="405E02CF">
        <w:tblPrEx>
          <w:tblCellMar>
            <w:top w:w="0" w:type="dxa"/>
            <w:left w:w="108" w:type="dxa"/>
            <w:bottom w:w="0" w:type="dxa"/>
            <w:right w:w="108" w:type="dxa"/>
          </w:tblCellMar>
        </w:tblPrEx>
        <w:trPr>
          <w:trHeight w:val="1120" w:hRule="atLeast"/>
        </w:trPr>
        <w:tc>
          <w:tcPr>
            <w:tcW w:w="1080" w:type="dxa"/>
            <w:tcBorders>
              <w:top w:val="single" w:color="000000" w:sz="4" w:space="0"/>
              <w:left w:val="single" w:color="000000" w:sz="4" w:space="0"/>
              <w:bottom w:val="single" w:color="000000" w:sz="4" w:space="0"/>
              <w:right w:val="single" w:color="000000" w:sz="4" w:space="0"/>
            </w:tcBorders>
            <w:vAlign w:val="center"/>
          </w:tcPr>
          <w:p w14:paraId="0D357337">
            <w:pPr>
              <w:jc w:val="center"/>
              <w:textAlignment w:val="center"/>
              <w:rPr>
                <w:rFonts w:hint="eastAsia" w:ascii="宋体" w:hAnsi="宋体" w:cs="宋体"/>
                <w:sz w:val="22"/>
                <w:szCs w:val="22"/>
              </w:rPr>
            </w:pPr>
            <w:r>
              <w:rPr>
                <w:rFonts w:hint="eastAsia" w:ascii="宋体" w:hAnsi="宋体" w:cs="宋体"/>
                <w:sz w:val="22"/>
                <w:szCs w:val="22"/>
                <w:lang w:bidi="ar"/>
              </w:rPr>
              <w:t>2</w:t>
            </w:r>
          </w:p>
        </w:tc>
        <w:tc>
          <w:tcPr>
            <w:tcW w:w="3188" w:type="dxa"/>
            <w:tcBorders>
              <w:top w:val="single" w:color="000000" w:sz="4" w:space="0"/>
              <w:left w:val="single" w:color="000000" w:sz="4" w:space="0"/>
              <w:bottom w:val="single" w:color="000000" w:sz="4" w:space="0"/>
              <w:right w:val="single" w:color="000000" w:sz="4" w:space="0"/>
            </w:tcBorders>
            <w:vAlign w:val="center"/>
          </w:tcPr>
          <w:p w14:paraId="5691CC03">
            <w:pPr>
              <w:jc w:val="center"/>
              <w:textAlignment w:val="center"/>
              <w:rPr>
                <w:rFonts w:hint="eastAsia" w:ascii="宋体" w:hAnsi="宋体" w:cs="宋体"/>
                <w:sz w:val="22"/>
                <w:szCs w:val="22"/>
              </w:rPr>
            </w:pPr>
            <w:r>
              <w:rPr>
                <w:rFonts w:hint="eastAsia" w:ascii="宋体" w:hAnsi="宋体" w:cs="宋体"/>
                <w:sz w:val="22"/>
                <w:szCs w:val="22"/>
                <w:lang w:bidi="ar"/>
              </w:rPr>
              <w:t>税率（%）</w:t>
            </w:r>
          </w:p>
        </w:tc>
        <w:tc>
          <w:tcPr>
            <w:tcW w:w="2715" w:type="dxa"/>
            <w:tcBorders>
              <w:top w:val="single" w:color="000000" w:sz="4" w:space="0"/>
              <w:left w:val="single" w:color="000000" w:sz="4" w:space="0"/>
              <w:bottom w:val="single" w:color="000000" w:sz="4" w:space="0"/>
              <w:right w:val="single" w:color="000000" w:sz="4" w:space="0"/>
            </w:tcBorders>
            <w:vAlign w:val="center"/>
          </w:tcPr>
          <w:p w14:paraId="324C706C">
            <w:pPr>
              <w:jc w:val="center"/>
              <w:rPr>
                <w:rFonts w:hint="eastAsia" w:ascii="宋体" w:hAnsi="宋体" w:cs="宋体"/>
                <w:sz w:val="22"/>
                <w:szCs w:val="22"/>
              </w:rPr>
            </w:pPr>
          </w:p>
        </w:tc>
        <w:tc>
          <w:tcPr>
            <w:tcW w:w="1860" w:type="dxa"/>
            <w:tcBorders>
              <w:top w:val="single" w:color="000000" w:sz="4" w:space="0"/>
              <w:left w:val="single" w:color="000000" w:sz="4" w:space="0"/>
              <w:bottom w:val="single" w:color="000000" w:sz="4" w:space="0"/>
              <w:right w:val="single" w:color="000000" w:sz="4" w:space="0"/>
            </w:tcBorders>
            <w:vAlign w:val="center"/>
          </w:tcPr>
          <w:p w14:paraId="3981B733">
            <w:pPr>
              <w:jc w:val="center"/>
              <w:textAlignment w:val="center"/>
              <w:rPr>
                <w:rFonts w:hint="eastAsia" w:ascii="宋体" w:hAnsi="宋体" w:cs="宋体"/>
                <w:sz w:val="22"/>
                <w:szCs w:val="22"/>
              </w:rPr>
            </w:pPr>
            <w:r>
              <w:rPr>
                <w:rFonts w:hint="eastAsia" w:ascii="宋体" w:hAnsi="宋体" w:cs="宋体"/>
                <w:sz w:val="22"/>
                <w:szCs w:val="22"/>
              </w:rPr>
              <w:t>13%增值税专用发票</w:t>
            </w:r>
          </w:p>
        </w:tc>
      </w:tr>
      <w:tr w14:paraId="63FC3121">
        <w:tblPrEx>
          <w:tblCellMar>
            <w:top w:w="0" w:type="dxa"/>
            <w:left w:w="108" w:type="dxa"/>
            <w:bottom w:w="0" w:type="dxa"/>
            <w:right w:w="108" w:type="dxa"/>
          </w:tblCellMar>
        </w:tblPrEx>
        <w:trPr>
          <w:trHeight w:val="620" w:hRule="atLeast"/>
        </w:trPr>
        <w:tc>
          <w:tcPr>
            <w:tcW w:w="1080" w:type="dxa"/>
            <w:tcBorders>
              <w:top w:val="single" w:color="000000" w:sz="4" w:space="0"/>
              <w:left w:val="single" w:color="000000" w:sz="4" w:space="0"/>
              <w:bottom w:val="single" w:color="000000" w:sz="4" w:space="0"/>
              <w:right w:val="single" w:color="000000" w:sz="4" w:space="0"/>
            </w:tcBorders>
            <w:vAlign w:val="center"/>
          </w:tcPr>
          <w:p w14:paraId="719E8C86">
            <w:pPr>
              <w:jc w:val="center"/>
              <w:textAlignment w:val="center"/>
              <w:rPr>
                <w:rFonts w:hint="eastAsia" w:ascii="宋体" w:hAnsi="宋体" w:cs="宋体"/>
                <w:sz w:val="22"/>
                <w:szCs w:val="22"/>
              </w:rPr>
            </w:pPr>
            <w:r>
              <w:rPr>
                <w:rFonts w:hint="eastAsia" w:ascii="宋体" w:hAnsi="宋体" w:cs="宋体"/>
                <w:sz w:val="22"/>
                <w:szCs w:val="22"/>
                <w:lang w:bidi="ar"/>
              </w:rPr>
              <w:t>3</w:t>
            </w:r>
          </w:p>
        </w:tc>
        <w:tc>
          <w:tcPr>
            <w:tcW w:w="3188" w:type="dxa"/>
            <w:tcBorders>
              <w:top w:val="single" w:color="000000" w:sz="4" w:space="0"/>
              <w:left w:val="single" w:color="000000" w:sz="4" w:space="0"/>
              <w:bottom w:val="single" w:color="000000" w:sz="4" w:space="0"/>
              <w:right w:val="single" w:color="000000" w:sz="4" w:space="0"/>
            </w:tcBorders>
            <w:vAlign w:val="center"/>
          </w:tcPr>
          <w:p w14:paraId="6A81DBE6">
            <w:pPr>
              <w:jc w:val="center"/>
              <w:textAlignment w:val="center"/>
              <w:rPr>
                <w:rFonts w:hint="eastAsia" w:ascii="宋体" w:hAnsi="宋体" w:cs="宋体"/>
                <w:sz w:val="22"/>
                <w:szCs w:val="22"/>
              </w:rPr>
            </w:pPr>
            <w:r>
              <w:rPr>
                <w:rFonts w:hint="eastAsia" w:ascii="宋体" w:hAnsi="宋体" w:cs="宋体"/>
                <w:sz w:val="22"/>
                <w:szCs w:val="22"/>
                <w:lang w:bidi="ar"/>
              </w:rPr>
              <w:t>总计</w:t>
            </w:r>
          </w:p>
        </w:tc>
        <w:tc>
          <w:tcPr>
            <w:tcW w:w="2715" w:type="dxa"/>
            <w:tcBorders>
              <w:top w:val="single" w:color="000000" w:sz="4" w:space="0"/>
              <w:left w:val="single" w:color="000000" w:sz="4" w:space="0"/>
              <w:bottom w:val="single" w:color="000000" w:sz="4" w:space="0"/>
              <w:right w:val="single" w:color="000000" w:sz="4" w:space="0"/>
            </w:tcBorders>
            <w:vAlign w:val="center"/>
          </w:tcPr>
          <w:p w14:paraId="12DE0410">
            <w:pPr>
              <w:jc w:val="center"/>
              <w:textAlignment w:val="center"/>
              <w:rPr>
                <w:rFonts w:hint="eastAsia" w:ascii="宋体" w:hAnsi="宋体" w:cs="宋体"/>
                <w:sz w:val="22"/>
                <w:szCs w:val="22"/>
              </w:rPr>
            </w:pPr>
            <w:r>
              <w:rPr>
                <w:rFonts w:hint="eastAsia" w:ascii="宋体" w:hAnsi="宋体" w:cs="宋体"/>
                <w:sz w:val="22"/>
                <w:szCs w:val="22"/>
                <w:lang w:bidi="ar"/>
              </w:rPr>
              <w:t>元</w:t>
            </w:r>
          </w:p>
        </w:tc>
        <w:tc>
          <w:tcPr>
            <w:tcW w:w="1860" w:type="dxa"/>
            <w:tcBorders>
              <w:top w:val="single" w:color="000000" w:sz="4" w:space="0"/>
              <w:left w:val="single" w:color="000000" w:sz="4" w:space="0"/>
              <w:bottom w:val="single" w:color="000000" w:sz="4" w:space="0"/>
              <w:right w:val="single" w:color="000000" w:sz="4" w:space="0"/>
            </w:tcBorders>
            <w:vAlign w:val="center"/>
          </w:tcPr>
          <w:p w14:paraId="6A4E96CD">
            <w:pPr>
              <w:jc w:val="center"/>
              <w:rPr>
                <w:rFonts w:hint="eastAsia" w:ascii="宋体" w:hAnsi="宋体" w:cs="宋体"/>
                <w:sz w:val="22"/>
                <w:szCs w:val="22"/>
              </w:rPr>
            </w:pPr>
            <w:r>
              <w:rPr>
                <w:rFonts w:hint="eastAsia" w:ascii="宋体" w:hAnsi="宋体" w:cs="宋体"/>
                <w:sz w:val="22"/>
                <w:szCs w:val="22"/>
              </w:rPr>
              <w:t>11000吨/年</w:t>
            </w:r>
          </w:p>
        </w:tc>
      </w:tr>
    </w:tbl>
    <w:p w14:paraId="5CF5A617">
      <w:pPr>
        <w:spacing w:line="360" w:lineRule="auto"/>
        <w:ind w:firstLine="240" w:firstLineChars="100"/>
        <w:rPr>
          <w:rFonts w:hint="eastAsia" w:ascii="宋体" w:hAnsi="宋体" w:eastAsia="宋体" w:cs="宋体"/>
          <w:color w:val="000000" w:themeColor="text1"/>
          <w:szCs w:val="24"/>
          <w:highlight w:val="yellow"/>
          <w14:textFill>
            <w14:solidFill>
              <w14:schemeClr w14:val="tx1"/>
            </w14:solidFill>
          </w14:textFill>
        </w:rPr>
      </w:pPr>
    </w:p>
    <w:p w14:paraId="56F197CC">
      <w:pPr>
        <w:spacing w:line="360" w:lineRule="auto"/>
        <w:ind w:firstLine="120"/>
        <w:jc w:val="right"/>
        <w:rPr>
          <w:rFonts w:hint="eastAsia" w:ascii="宋体" w:hAnsi="宋体" w:eastAsia="宋体" w:cs="宋体"/>
          <w:bCs/>
          <w:color w:val="000000" w:themeColor="text1"/>
          <w:szCs w:val="24"/>
          <w14:textFill>
            <w14:solidFill>
              <w14:schemeClr w14:val="tx1"/>
            </w14:solidFill>
          </w14:textFill>
        </w:rPr>
      </w:pPr>
    </w:p>
    <w:p w14:paraId="0D5945FA">
      <w:pPr>
        <w:spacing w:line="360" w:lineRule="auto"/>
        <w:ind w:firstLine="120"/>
        <w:jc w:val="right"/>
        <w:rPr>
          <w:rFonts w:hint="eastAsia" w:ascii="宋体" w:hAnsi="宋体" w:eastAsia="宋体" w:cs="宋体"/>
          <w:bCs/>
          <w:color w:val="000000" w:themeColor="text1"/>
          <w:szCs w:val="24"/>
          <w14:textFill>
            <w14:solidFill>
              <w14:schemeClr w14:val="tx1"/>
            </w14:solidFill>
          </w14:textFill>
        </w:rPr>
      </w:pPr>
    </w:p>
    <w:p w14:paraId="34DE4BA2">
      <w:pPr>
        <w:spacing w:line="360" w:lineRule="auto"/>
        <w:ind w:right="960"/>
        <w:jc w:val="righ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w:t>
      </w:r>
      <w:r>
        <w:rPr>
          <w:rFonts w:hint="eastAsia" w:ascii="宋体" w:hAnsi="宋体" w:eastAsia="宋体" w:cs="宋体"/>
          <w:color w:val="000000" w:themeColor="text1"/>
          <w:szCs w:val="24"/>
          <w14:textFill>
            <w14:solidFill>
              <w14:schemeClr w14:val="tx1"/>
            </w14:solidFill>
          </w14:textFill>
        </w:rPr>
        <w:t>代表签字公章：</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p w14:paraId="4F084816">
      <w:pPr>
        <w:pStyle w:val="3"/>
        <w:rPr>
          <w:rFonts w:hint="eastAsia" w:cs="宋体"/>
          <w:b/>
          <w:bCs/>
          <w:szCs w:val="24"/>
          <w:lang w:bidi="ar"/>
        </w:rPr>
      </w:pPr>
      <w:r>
        <w:rPr>
          <w:rFonts w:hint="eastAsia" w:cs="宋体"/>
          <w:b/>
          <w:bCs/>
          <w:szCs w:val="24"/>
          <w:lang w:bidi="ar"/>
        </w:rPr>
        <w:t>湛江市朗坤环保能源有限公司</w:t>
      </w:r>
    </w:p>
    <w:p w14:paraId="0BC263B7">
      <w:pPr>
        <w:pStyle w:val="3"/>
        <w:rPr>
          <w:rFonts w:hint="eastAsia"/>
        </w:rPr>
      </w:pPr>
      <w:r>
        <w:rPr>
          <w:rFonts w:hint="eastAsia" w:cs="宋体"/>
          <w:b/>
          <w:bCs/>
          <w:szCs w:val="24"/>
          <w:lang w:bidi="ar"/>
        </w:rPr>
        <w:t>工程名称：飞灰固化处理服务</w:t>
      </w:r>
    </w:p>
    <w:tbl>
      <w:tblPr>
        <w:tblStyle w:val="48"/>
        <w:tblW w:w="8843" w:type="dxa"/>
        <w:tblInd w:w="93" w:type="dxa"/>
        <w:tblLayout w:type="autofit"/>
        <w:tblCellMar>
          <w:top w:w="0" w:type="dxa"/>
          <w:left w:w="108" w:type="dxa"/>
          <w:bottom w:w="0" w:type="dxa"/>
          <w:right w:w="108" w:type="dxa"/>
        </w:tblCellMar>
      </w:tblPr>
      <w:tblGrid>
        <w:gridCol w:w="1080"/>
        <w:gridCol w:w="3188"/>
        <w:gridCol w:w="2715"/>
        <w:gridCol w:w="1860"/>
      </w:tblGrid>
      <w:tr w14:paraId="405DDF26">
        <w:tblPrEx>
          <w:tblCellMar>
            <w:top w:w="0" w:type="dxa"/>
            <w:left w:w="108" w:type="dxa"/>
            <w:bottom w:w="0" w:type="dxa"/>
            <w:right w:w="108" w:type="dxa"/>
          </w:tblCellMar>
        </w:tblPrEx>
        <w:trPr>
          <w:trHeight w:val="530" w:hRule="atLeast"/>
        </w:trPr>
        <w:tc>
          <w:tcPr>
            <w:tcW w:w="1080" w:type="dxa"/>
            <w:tcBorders>
              <w:top w:val="single" w:color="000000" w:sz="4" w:space="0"/>
              <w:left w:val="single" w:color="000000" w:sz="4" w:space="0"/>
              <w:bottom w:val="single" w:color="000000" w:sz="4" w:space="0"/>
              <w:right w:val="single" w:color="000000" w:sz="4" w:space="0"/>
            </w:tcBorders>
            <w:vAlign w:val="center"/>
          </w:tcPr>
          <w:p w14:paraId="3B78104A">
            <w:pPr>
              <w:jc w:val="center"/>
              <w:textAlignment w:val="center"/>
              <w:rPr>
                <w:rFonts w:hint="eastAsia" w:ascii="宋体" w:hAnsi="宋体" w:cs="宋体"/>
                <w:sz w:val="22"/>
                <w:szCs w:val="22"/>
              </w:rPr>
            </w:pPr>
            <w:r>
              <w:rPr>
                <w:rFonts w:hint="eastAsia" w:ascii="宋体" w:hAnsi="宋体" w:cs="宋体"/>
                <w:sz w:val="22"/>
                <w:szCs w:val="22"/>
                <w:lang w:bidi="ar"/>
              </w:rPr>
              <w:t>序号</w:t>
            </w:r>
          </w:p>
        </w:tc>
        <w:tc>
          <w:tcPr>
            <w:tcW w:w="3188" w:type="dxa"/>
            <w:tcBorders>
              <w:top w:val="single" w:color="000000" w:sz="4" w:space="0"/>
              <w:left w:val="single" w:color="000000" w:sz="4" w:space="0"/>
              <w:bottom w:val="single" w:color="000000" w:sz="4" w:space="0"/>
              <w:right w:val="single" w:color="000000" w:sz="4" w:space="0"/>
            </w:tcBorders>
            <w:vAlign w:val="center"/>
          </w:tcPr>
          <w:p w14:paraId="0815B231">
            <w:pPr>
              <w:jc w:val="center"/>
              <w:textAlignment w:val="center"/>
              <w:rPr>
                <w:rFonts w:hint="eastAsia" w:ascii="宋体" w:hAnsi="宋体" w:cs="宋体"/>
                <w:sz w:val="22"/>
                <w:szCs w:val="22"/>
              </w:rPr>
            </w:pPr>
            <w:r>
              <w:rPr>
                <w:rFonts w:hint="eastAsia" w:ascii="宋体" w:hAnsi="宋体" w:cs="宋体"/>
                <w:sz w:val="22"/>
                <w:szCs w:val="22"/>
                <w:lang w:bidi="ar"/>
              </w:rPr>
              <w:t>名称</w:t>
            </w:r>
          </w:p>
        </w:tc>
        <w:tc>
          <w:tcPr>
            <w:tcW w:w="2715" w:type="dxa"/>
            <w:tcBorders>
              <w:top w:val="single" w:color="000000" w:sz="4" w:space="0"/>
              <w:left w:val="single" w:color="000000" w:sz="4" w:space="0"/>
              <w:bottom w:val="single" w:color="000000" w:sz="4" w:space="0"/>
              <w:right w:val="single" w:color="000000" w:sz="4" w:space="0"/>
            </w:tcBorders>
            <w:vAlign w:val="center"/>
          </w:tcPr>
          <w:p w14:paraId="4361A3F8">
            <w:pPr>
              <w:jc w:val="center"/>
              <w:textAlignment w:val="center"/>
              <w:rPr>
                <w:rFonts w:hint="eastAsia" w:ascii="宋体" w:hAnsi="宋体" w:cs="宋体"/>
                <w:sz w:val="22"/>
                <w:szCs w:val="22"/>
              </w:rPr>
            </w:pPr>
            <w:r>
              <w:rPr>
                <w:rFonts w:hint="eastAsia" w:ascii="宋体" w:hAnsi="宋体" w:cs="宋体"/>
                <w:sz w:val="22"/>
                <w:szCs w:val="22"/>
                <w:lang w:bidi="ar"/>
              </w:rPr>
              <w:t>综合单价</w:t>
            </w:r>
          </w:p>
          <w:p w14:paraId="13DC3458">
            <w:pPr>
              <w:jc w:val="center"/>
              <w:textAlignment w:val="center"/>
              <w:rPr>
                <w:rFonts w:hint="eastAsia" w:ascii="宋体" w:hAnsi="宋体" w:cs="宋体"/>
                <w:sz w:val="22"/>
                <w:szCs w:val="22"/>
              </w:rPr>
            </w:pPr>
          </w:p>
        </w:tc>
        <w:tc>
          <w:tcPr>
            <w:tcW w:w="1860" w:type="dxa"/>
            <w:tcBorders>
              <w:top w:val="single" w:color="000000" w:sz="4" w:space="0"/>
              <w:left w:val="single" w:color="000000" w:sz="4" w:space="0"/>
              <w:bottom w:val="single" w:color="000000" w:sz="4" w:space="0"/>
              <w:right w:val="single" w:color="000000" w:sz="4" w:space="0"/>
            </w:tcBorders>
            <w:vAlign w:val="center"/>
          </w:tcPr>
          <w:p w14:paraId="01D0BFE1">
            <w:pPr>
              <w:jc w:val="center"/>
              <w:textAlignment w:val="center"/>
              <w:rPr>
                <w:rFonts w:hint="eastAsia" w:ascii="宋体" w:hAnsi="宋体" w:cs="宋体"/>
                <w:sz w:val="22"/>
                <w:szCs w:val="22"/>
              </w:rPr>
            </w:pPr>
            <w:r>
              <w:rPr>
                <w:rFonts w:hint="eastAsia" w:ascii="宋体" w:hAnsi="宋体" w:cs="宋体"/>
                <w:sz w:val="22"/>
                <w:szCs w:val="22"/>
                <w:lang w:bidi="ar"/>
              </w:rPr>
              <w:t>备注</w:t>
            </w:r>
          </w:p>
        </w:tc>
      </w:tr>
      <w:tr w14:paraId="335E54CF">
        <w:tblPrEx>
          <w:tblCellMar>
            <w:top w:w="0" w:type="dxa"/>
            <w:left w:w="108" w:type="dxa"/>
            <w:bottom w:w="0" w:type="dxa"/>
            <w:right w:w="108" w:type="dxa"/>
          </w:tblCellMar>
        </w:tblPrEx>
        <w:trPr>
          <w:trHeight w:val="890" w:hRule="atLeast"/>
        </w:trPr>
        <w:tc>
          <w:tcPr>
            <w:tcW w:w="1080" w:type="dxa"/>
            <w:tcBorders>
              <w:top w:val="single" w:color="000000" w:sz="4" w:space="0"/>
              <w:left w:val="single" w:color="000000" w:sz="4" w:space="0"/>
              <w:bottom w:val="single" w:color="000000" w:sz="4" w:space="0"/>
              <w:right w:val="single" w:color="000000" w:sz="4" w:space="0"/>
            </w:tcBorders>
            <w:vAlign w:val="center"/>
          </w:tcPr>
          <w:p w14:paraId="6C46886D">
            <w:pPr>
              <w:jc w:val="center"/>
              <w:textAlignment w:val="center"/>
              <w:rPr>
                <w:rFonts w:hint="eastAsia" w:ascii="宋体" w:hAnsi="宋体" w:cs="宋体"/>
                <w:sz w:val="22"/>
                <w:szCs w:val="22"/>
              </w:rPr>
            </w:pPr>
            <w:r>
              <w:rPr>
                <w:rFonts w:hint="eastAsia" w:ascii="宋体" w:hAnsi="宋体" w:cs="宋体"/>
                <w:sz w:val="22"/>
                <w:szCs w:val="22"/>
                <w:lang w:bidi="ar"/>
              </w:rPr>
              <w:t>1</w:t>
            </w:r>
          </w:p>
        </w:tc>
        <w:tc>
          <w:tcPr>
            <w:tcW w:w="3188" w:type="dxa"/>
            <w:tcBorders>
              <w:top w:val="single" w:color="000000" w:sz="4" w:space="0"/>
              <w:left w:val="single" w:color="000000" w:sz="4" w:space="0"/>
              <w:bottom w:val="single" w:color="000000" w:sz="4" w:space="0"/>
              <w:right w:val="single" w:color="000000" w:sz="4" w:space="0"/>
            </w:tcBorders>
            <w:vAlign w:val="center"/>
          </w:tcPr>
          <w:p w14:paraId="68ECA359">
            <w:pPr>
              <w:textAlignment w:val="center"/>
              <w:rPr>
                <w:rFonts w:hint="eastAsia" w:ascii="宋体" w:hAnsi="宋体" w:cs="宋体"/>
                <w:sz w:val="22"/>
                <w:szCs w:val="22"/>
              </w:rPr>
            </w:pPr>
            <w:r>
              <w:rPr>
                <w:rFonts w:hint="eastAsia" w:ascii="宋体" w:hAnsi="宋体" w:cs="宋体"/>
                <w:sz w:val="22"/>
                <w:szCs w:val="22"/>
              </w:rPr>
              <w:t>吴川项目飞灰固化处理服务</w:t>
            </w:r>
          </w:p>
        </w:tc>
        <w:tc>
          <w:tcPr>
            <w:tcW w:w="2715" w:type="dxa"/>
            <w:tcBorders>
              <w:top w:val="single" w:color="000000" w:sz="4" w:space="0"/>
              <w:left w:val="single" w:color="000000" w:sz="4" w:space="0"/>
              <w:bottom w:val="single" w:color="000000" w:sz="4" w:space="0"/>
              <w:right w:val="single" w:color="000000" w:sz="4" w:space="0"/>
            </w:tcBorders>
            <w:vAlign w:val="center"/>
          </w:tcPr>
          <w:p w14:paraId="594380F2">
            <w:pPr>
              <w:jc w:val="center"/>
              <w:rPr>
                <w:rFonts w:hint="eastAsia" w:ascii="宋体" w:hAnsi="宋体" w:cs="宋体"/>
                <w:sz w:val="22"/>
                <w:szCs w:val="22"/>
              </w:rPr>
            </w:pPr>
            <w:r>
              <w:rPr>
                <w:rFonts w:hint="eastAsia" w:ascii="宋体" w:hAnsi="宋体" w:cs="宋体"/>
                <w:sz w:val="22"/>
                <w:szCs w:val="22"/>
                <w:lang w:bidi="ar"/>
              </w:rPr>
              <w:t>元/吨</w:t>
            </w:r>
          </w:p>
        </w:tc>
        <w:tc>
          <w:tcPr>
            <w:tcW w:w="1860" w:type="dxa"/>
            <w:tcBorders>
              <w:top w:val="single" w:color="000000" w:sz="4" w:space="0"/>
              <w:left w:val="single" w:color="000000" w:sz="4" w:space="0"/>
              <w:bottom w:val="single" w:color="000000" w:sz="4" w:space="0"/>
              <w:right w:val="single" w:color="000000" w:sz="4" w:space="0"/>
            </w:tcBorders>
            <w:vAlign w:val="center"/>
          </w:tcPr>
          <w:p w14:paraId="0DB6A82C">
            <w:pPr>
              <w:jc w:val="center"/>
              <w:textAlignment w:val="center"/>
              <w:rPr>
                <w:rFonts w:hint="eastAsia" w:ascii="宋体" w:hAnsi="宋体" w:cs="宋体"/>
                <w:sz w:val="22"/>
                <w:szCs w:val="22"/>
              </w:rPr>
            </w:pPr>
          </w:p>
        </w:tc>
      </w:tr>
      <w:tr w14:paraId="785E958F">
        <w:tblPrEx>
          <w:tblCellMar>
            <w:top w:w="0" w:type="dxa"/>
            <w:left w:w="108" w:type="dxa"/>
            <w:bottom w:w="0" w:type="dxa"/>
            <w:right w:w="108" w:type="dxa"/>
          </w:tblCellMar>
        </w:tblPrEx>
        <w:trPr>
          <w:trHeight w:val="1120" w:hRule="atLeast"/>
        </w:trPr>
        <w:tc>
          <w:tcPr>
            <w:tcW w:w="1080" w:type="dxa"/>
            <w:tcBorders>
              <w:top w:val="single" w:color="000000" w:sz="4" w:space="0"/>
              <w:left w:val="single" w:color="000000" w:sz="4" w:space="0"/>
              <w:bottom w:val="single" w:color="000000" w:sz="4" w:space="0"/>
              <w:right w:val="single" w:color="000000" w:sz="4" w:space="0"/>
            </w:tcBorders>
            <w:vAlign w:val="center"/>
          </w:tcPr>
          <w:p w14:paraId="44E86536">
            <w:pPr>
              <w:jc w:val="center"/>
              <w:textAlignment w:val="center"/>
              <w:rPr>
                <w:rFonts w:hint="eastAsia" w:ascii="宋体" w:hAnsi="宋体" w:cs="宋体"/>
                <w:sz w:val="22"/>
                <w:szCs w:val="22"/>
              </w:rPr>
            </w:pPr>
            <w:r>
              <w:rPr>
                <w:rFonts w:hint="eastAsia" w:ascii="宋体" w:hAnsi="宋体" w:cs="宋体"/>
                <w:sz w:val="22"/>
                <w:szCs w:val="22"/>
                <w:lang w:bidi="ar"/>
              </w:rPr>
              <w:t>2</w:t>
            </w:r>
          </w:p>
        </w:tc>
        <w:tc>
          <w:tcPr>
            <w:tcW w:w="3188" w:type="dxa"/>
            <w:tcBorders>
              <w:top w:val="single" w:color="000000" w:sz="4" w:space="0"/>
              <w:left w:val="single" w:color="000000" w:sz="4" w:space="0"/>
              <w:bottom w:val="single" w:color="000000" w:sz="4" w:space="0"/>
              <w:right w:val="single" w:color="000000" w:sz="4" w:space="0"/>
            </w:tcBorders>
            <w:vAlign w:val="center"/>
          </w:tcPr>
          <w:p w14:paraId="227FA48E">
            <w:pPr>
              <w:jc w:val="center"/>
              <w:textAlignment w:val="center"/>
              <w:rPr>
                <w:rFonts w:hint="eastAsia" w:ascii="宋体" w:hAnsi="宋体" w:cs="宋体"/>
                <w:sz w:val="22"/>
                <w:szCs w:val="22"/>
              </w:rPr>
            </w:pPr>
            <w:r>
              <w:rPr>
                <w:rFonts w:hint="eastAsia" w:ascii="宋体" w:hAnsi="宋体" w:cs="宋体"/>
                <w:sz w:val="22"/>
                <w:szCs w:val="22"/>
                <w:lang w:bidi="ar"/>
              </w:rPr>
              <w:t>税率（%）</w:t>
            </w:r>
          </w:p>
        </w:tc>
        <w:tc>
          <w:tcPr>
            <w:tcW w:w="2715" w:type="dxa"/>
            <w:tcBorders>
              <w:top w:val="single" w:color="000000" w:sz="4" w:space="0"/>
              <w:left w:val="single" w:color="000000" w:sz="4" w:space="0"/>
              <w:bottom w:val="single" w:color="000000" w:sz="4" w:space="0"/>
              <w:right w:val="single" w:color="000000" w:sz="4" w:space="0"/>
            </w:tcBorders>
            <w:vAlign w:val="center"/>
          </w:tcPr>
          <w:p w14:paraId="15D8B08F">
            <w:pPr>
              <w:jc w:val="center"/>
              <w:rPr>
                <w:rFonts w:hint="eastAsia" w:ascii="宋体" w:hAnsi="宋体" w:cs="宋体"/>
                <w:sz w:val="22"/>
                <w:szCs w:val="22"/>
              </w:rPr>
            </w:pPr>
          </w:p>
        </w:tc>
        <w:tc>
          <w:tcPr>
            <w:tcW w:w="1860" w:type="dxa"/>
            <w:tcBorders>
              <w:top w:val="single" w:color="000000" w:sz="4" w:space="0"/>
              <w:left w:val="single" w:color="000000" w:sz="4" w:space="0"/>
              <w:bottom w:val="single" w:color="000000" w:sz="4" w:space="0"/>
              <w:right w:val="single" w:color="000000" w:sz="4" w:space="0"/>
            </w:tcBorders>
            <w:vAlign w:val="center"/>
          </w:tcPr>
          <w:p w14:paraId="34FA10AD">
            <w:pPr>
              <w:jc w:val="center"/>
              <w:textAlignment w:val="center"/>
              <w:rPr>
                <w:rFonts w:hint="eastAsia" w:ascii="宋体" w:hAnsi="宋体" w:cs="宋体"/>
                <w:sz w:val="22"/>
                <w:szCs w:val="22"/>
              </w:rPr>
            </w:pPr>
            <w:r>
              <w:rPr>
                <w:rFonts w:hint="eastAsia" w:ascii="宋体" w:hAnsi="宋体" w:cs="宋体"/>
                <w:sz w:val="22"/>
                <w:szCs w:val="22"/>
              </w:rPr>
              <w:t>13%增值税专用发票</w:t>
            </w:r>
          </w:p>
        </w:tc>
      </w:tr>
      <w:tr w14:paraId="24851A8D">
        <w:tblPrEx>
          <w:tblCellMar>
            <w:top w:w="0" w:type="dxa"/>
            <w:left w:w="108" w:type="dxa"/>
            <w:bottom w:w="0" w:type="dxa"/>
            <w:right w:w="108" w:type="dxa"/>
          </w:tblCellMar>
        </w:tblPrEx>
        <w:trPr>
          <w:trHeight w:val="620" w:hRule="atLeast"/>
        </w:trPr>
        <w:tc>
          <w:tcPr>
            <w:tcW w:w="1080" w:type="dxa"/>
            <w:tcBorders>
              <w:top w:val="single" w:color="000000" w:sz="4" w:space="0"/>
              <w:left w:val="single" w:color="000000" w:sz="4" w:space="0"/>
              <w:bottom w:val="single" w:color="000000" w:sz="4" w:space="0"/>
              <w:right w:val="single" w:color="000000" w:sz="4" w:space="0"/>
            </w:tcBorders>
            <w:vAlign w:val="center"/>
          </w:tcPr>
          <w:p w14:paraId="5F9C918C">
            <w:pPr>
              <w:jc w:val="center"/>
              <w:textAlignment w:val="center"/>
              <w:rPr>
                <w:rFonts w:hint="eastAsia" w:ascii="宋体" w:hAnsi="宋体" w:cs="宋体"/>
                <w:sz w:val="22"/>
                <w:szCs w:val="22"/>
              </w:rPr>
            </w:pPr>
            <w:r>
              <w:rPr>
                <w:rFonts w:hint="eastAsia" w:ascii="宋体" w:hAnsi="宋体" w:cs="宋体"/>
                <w:sz w:val="22"/>
                <w:szCs w:val="22"/>
                <w:lang w:bidi="ar"/>
              </w:rPr>
              <w:t>3</w:t>
            </w:r>
          </w:p>
        </w:tc>
        <w:tc>
          <w:tcPr>
            <w:tcW w:w="3188" w:type="dxa"/>
            <w:tcBorders>
              <w:top w:val="single" w:color="000000" w:sz="4" w:space="0"/>
              <w:left w:val="single" w:color="000000" w:sz="4" w:space="0"/>
              <w:bottom w:val="single" w:color="000000" w:sz="4" w:space="0"/>
              <w:right w:val="single" w:color="000000" w:sz="4" w:space="0"/>
            </w:tcBorders>
            <w:vAlign w:val="center"/>
          </w:tcPr>
          <w:p w14:paraId="148898C7">
            <w:pPr>
              <w:jc w:val="center"/>
              <w:textAlignment w:val="center"/>
              <w:rPr>
                <w:rFonts w:hint="eastAsia" w:ascii="宋体" w:hAnsi="宋体" w:cs="宋体"/>
                <w:sz w:val="22"/>
                <w:szCs w:val="22"/>
              </w:rPr>
            </w:pPr>
            <w:r>
              <w:rPr>
                <w:rFonts w:hint="eastAsia" w:ascii="宋体" w:hAnsi="宋体" w:cs="宋体"/>
                <w:sz w:val="22"/>
                <w:szCs w:val="22"/>
                <w:lang w:bidi="ar"/>
              </w:rPr>
              <w:t>总计</w:t>
            </w:r>
          </w:p>
        </w:tc>
        <w:tc>
          <w:tcPr>
            <w:tcW w:w="2715" w:type="dxa"/>
            <w:tcBorders>
              <w:top w:val="single" w:color="000000" w:sz="4" w:space="0"/>
              <w:left w:val="single" w:color="000000" w:sz="4" w:space="0"/>
              <w:bottom w:val="single" w:color="000000" w:sz="4" w:space="0"/>
              <w:right w:val="single" w:color="000000" w:sz="4" w:space="0"/>
            </w:tcBorders>
            <w:vAlign w:val="center"/>
          </w:tcPr>
          <w:p w14:paraId="5759D9DE">
            <w:pPr>
              <w:jc w:val="center"/>
              <w:textAlignment w:val="center"/>
              <w:rPr>
                <w:rFonts w:hint="eastAsia" w:ascii="宋体" w:hAnsi="宋体" w:cs="宋体"/>
                <w:sz w:val="22"/>
                <w:szCs w:val="22"/>
              </w:rPr>
            </w:pPr>
            <w:r>
              <w:rPr>
                <w:rFonts w:hint="eastAsia" w:ascii="宋体" w:hAnsi="宋体" w:cs="宋体"/>
                <w:sz w:val="22"/>
                <w:szCs w:val="22"/>
                <w:lang w:bidi="ar"/>
              </w:rPr>
              <w:t>元</w:t>
            </w:r>
          </w:p>
        </w:tc>
        <w:tc>
          <w:tcPr>
            <w:tcW w:w="1860" w:type="dxa"/>
            <w:tcBorders>
              <w:top w:val="single" w:color="000000" w:sz="4" w:space="0"/>
              <w:left w:val="single" w:color="000000" w:sz="4" w:space="0"/>
              <w:bottom w:val="single" w:color="000000" w:sz="4" w:space="0"/>
              <w:right w:val="single" w:color="000000" w:sz="4" w:space="0"/>
            </w:tcBorders>
            <w:vAlign w:val="center"/>
          </w:tcPr>
          <w:p w14:paraId="2D07EFBE">
            <w:pPr>
              <w:jc w:val="center"/>
              <w:rPr>
                <w:rFonts w:hint="eastAsia" w:ascii="宋体" w:hAnsi="宋体" w:cs="宋体"/>
                <w:sz w:val="22"/>
                <w:szCs w:val="22"/>
              </w:rPr>
            </w:pPr>
            <w:r>
              <w:rPr>
                <w:rFonts w:hint="eastAsia" w:ascii="宋体" w:hAnsi="宋体" w:cs="宋体"/>
                <w:sz w:val="22"/>
                <w:szCs w:val="22"/>
              </w:rPr>
              <w:t>11000吨/年</w:t>
            </w:r>
          </w:p>
        </w:tc>
      </w:tr>
    </w:tbl>
    <w:p w14:paraId="2158547D">
      <w:pPr>
        <w:spacing w:line="360" w:lineRule="auto"/>
        <w:ind w:firstLine="120"/>
        <w:jc w:val="right"/>
        <w:rPr>
          <w:rFonts w:hint="eastAsia" w:ascii="宋体" w:hAnsi="宋体" w:eastAsia="宋体" w:cs="宋体"/>
          <w:bCs/>
          <w:color w:val="000000" w:themeColor="text1"/>
          <w:szCs w:val="24"/>
          <w14:textFill>
            <w14:solidFill>
              <w14:schemeClr w14:val="tx1"/>
            </w14:solidFill>
          </w14:textFill>
        </w:rPr>
      </w:pPr>
    </w:p>
    <w:p w14:paraId="54ADFAE7">
      <w:pPr>
        <w:spacing w:line="360" w:lineRule="auto"/>
        <w:ind w:right="960"/>
        <w:jc w:val="right"/>
        <w:rPr>
          <w:rFonts w:hint="eastAsia" w:ascii="宋体" w:hAnsi="宋体" w:eastAsia="宋体" w:cs="宋体"/>
          <w:color w:val="000000" w:themeColor="text1"/>
          <w:sz w:val="28"/>
          <w:szCs w:val="28"/>
          <w14:textFill>
            <w14:solidFill>
              <w14:schemeClr w14:val="tx1"/>
            </w14:solidFill>
          </w14:textFill>
        </w:rPr>
        <w:sectPr>
          <w:pgSz w:w="11907" w:h="16840"/>
          <w:pgMar w:top="1418" w:right="1418" w:bottom="1418" w:left="1418" w:header="851" w:footer="906" w:gutter="0"/>
          <w:cols w:space="425" w:num="1"/>
          <w:titlePg/>
          <w:docGrid w:linePitch="536" w:charSpace="7143"/>
        </w:sectPr>
      </w:pPr>
      <w:r>
        <w:rPr>
          <w:rFonts w:hint="eastAsia" w:ascii="宋体" w:hAnsi="宋体" w:eastAsia="宋体" w:cs="宋体"/>
          <w:bCs/>
          <w:color w:val="000000" w:themeColor="text1"/>
          <w:szCs w:val="24"/>
          <w14:textFill>
            <w14:solidFill>
              <w14:schemeClr w14:val="tx1"/>
            </w14:solidFill>
          </w14:textFill>
        </w:rPr>
        <w:t>投标人</w:t>
      </w:r>
      <w:r>
        <w:rPr>
          <w:rFonts w:hint="eastAsia" w:ascii="宋体" w:hAnsi="宋体" w:eastAsia="宋体" w:cs="宋体"/>
          <w:color w:val="000000" w:themeColor="text1"/>
          <w:szCs w:val="24"/>
          <w14:textFill>
            <w14:solidFill>
              <w14:schemeClr w14:val="tx1"/>
            </w14:solidFill>
          </w14:textFill>
        </w:rPr>
        <w:t>代表签字公章：</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p w14:paraId="317F524D">
      <w:pPr>
        <w:pStyle w:val="2"/>
        <w:ind w:firstLine="0" w:firstLineChars="0"/>
        <w:rPr>
          <w:rFonts w:hint="eastAsia" w:ascii="宋体" w:hAnsi="宋体" w:cs="宋体"/>
          <w:color w:val="000000" w:themeColor="text1"/>
          <w:u w:val="single"/>
          <w14:textFill>
            <w14:solidFill>
              <w14:schemeClr w14:val="tx1"/>
            </w14:solidFill>
          </w14:textFill>
        </w:rPr>
        <w:sectPr>
          <w:pgSz w:w="11907" w:h="16840"/>
          <w:pgMar w:top="1418" w:right="1418" w:bottom="1418" w:left="1418" w:header="851" w:footer="906" w:gutter="0"/>
          <w:cols w:space="425" w:num="1"/>
          <w:titlePg/>
          <w:docGrid w:linePitch="536" w:charSpace="7143"/>
        </w:sectPr>
      </w:pPr>
    </w:p>
    <w:p w14:paraId="7C851A67">
      <w:pPr>
        <w:ind w:left="89" w:leftChars="1" w:hanging="87" w:hangingChars="36"/>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附录5-1-6商务偏离表格式</w:t>
      </w:r>
      <w:bookmarkEnd w:id="415"/>
      <w:bookmarkEnd w:id="416"/>
      <w:bookmarkEnd w:id="417"/>
      <w:bookmarkEnd w:id="418"/>
    </w:p>
    <w:p w14:paraId="1952D7BC">
      <w:pPr>
        <w:pStyle w:val="94"/>
        <w:spacing w:line="240" w:lineRule="auto"/>
        <w:rPr>
          <w:rFonts w:ascii="宋体" w:hAnsi="宋体" w:eastAsia="宋体" w:cs="宋体"/>
          <w:bCs w:val="0"/>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商务、技术偏离表</w:t>
      </w:r>
    </w:p>
    <w:p w14:paraId="1A2AF395">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 xml:space="preserve">   投标人名称：</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3C99D86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7CCF5C03">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序号</w:t>
            </w:r>
          </w:p>
        </w:tc>
        <w:tc>
          <w:tcPr>
            <w:tcW w:w="2291" w:type="dxa"/>
            <w:vAlign w:val="center"/>
          </w:tcPr>
          <w:p w14:paraId="3A09EAD5">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招标文件条目号</w:t>
            </w:r>
          </w:p>
        </w:tc>
        <w:tc>
          <w:tcPr>
            <w:tcW w:w="2291" w:type="dxa"/>
            <w:vAlign w:val="center"/>
          </w:tcPr>
          <w:p w14:paraId="2982BE14">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招标文件的商务条款</w:t>
            </w:r>
          </w:p>
        </w:tc>
        <w:tc>
          <w:tcPr>
            <w:tcW w:w="3062" w:type="dxa"/>
            <w:vAlign w:val="center"/>
          </w:tcPr>
          <w:p w14:paraId="17C2D0CC">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投标文件的商务条款</w:t>
            </w:r>
          </w:p>
        </w:tc>
        <w:tc>
          <w:tcPr>
            <w:tcW w:w="2460" w:type="dxa"/>
            <w:tcBorders>
              <w:right w:val="single" w:color="auto" w:sz="4" w:space="0"/>
            </w:tcBorders>
            <w:vAlign w:val="center"/>
          </w:tcPr>
          <w:p w14:paraId="27D0D92F">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偏离说明</w:t>
            </w:r>
          </w:p>
        </w:tc>
        <w:tc>
          <w:tcPr>
            <w:tcW w:w="3386" w:type="dxa"/>
            <w:tcBorders>
              <w:left w:val="single" w:color="auto" w:sz="4" w:space="0"/>
            </w:tcBorders>
            <w:vAlign w:val="center"/>
          </w:tcPr>
          <w:p w14:paraId="1228A6F6">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投标文件编号</w:t>
            </w:r>
          </w:p>
        </w:tc>
      </w:tr>
      <w:tr w14:paraId="1343973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50FA142">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73AA69DE">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6BAC6474">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4F96AB41">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6234B2DB">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ABE5806">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36F5F47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230C6223">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2D1D8DB1">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61D182E2">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3D971229">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67A0849C">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40C4D16">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30D81A8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4B18C1F">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7A594EE2">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4F343B32">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21CFDA30">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3DF221EE">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0D0C6DAC">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14F76D6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6D7E8BFA">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2ACCD4FB">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0F136F0A">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77977B8A">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096B6415">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77EB3259">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bl>
    <w:p w14:paraId="732DDA6B">
      <w:pPr>
        <w:pStyle w:val="94"/>
        <w:tabs>
          <w:tab w:val="clear" w:pos="2340"/>
        </w:tabs>
        <w:wordWrap w:val="0"/>
        <w:spacing w:line="240" w:lineRule="auto"/>
        <w:jc w:val="right"/>
        <w:rPr>
          <w:rFonts w:ascii="宋体" w:hAnsi="宋体" w:eastAsia="宋体" w:cs="宋体"/>
          <w:b w:val="0"/>
          <w:color w:val="000000" w:themeColor="text1"/>
          <w:sz w:val="24"/>
          <w:szCs w:val="24"/>
          <w14:textFill>
            <w14:solidFill>
              <w14:schemeClr w14:val="tx1"/>
            </w14:solidFill>
          </w14:textFill>
        </w:rPr>
      </w:pPr>
    </w:p>
    <w:p w14:paraId="41212352">
      <w:pPr>
        <w:pStyle w:val="94"/>
        <w:tabs>
          <w:tab w:val="clear" w:pos="2340"/>
        </w:tabs>
        <w:wordWrap w:val="0"/>
        <w:spacing w:line="240" w:lineRule="auto"/>
        <w:jc w:val="right"/>
        <w:rPr>
          <w:rFonts w:ascii="宋体" w:hAnsi="宋体" w:eastAsia="宋体" w:cs="宋体"/>
          <w:b w:val="0"/>
          <w:color w:val="000000" w:themeColor="text1"/>
          <w:sz w:val="24"/>
          <w:szCs w:val="24"/>
          <w:u w:val="single"/>
          <w14:textFill>
            <w14:solidFill>
              <w14:schemeClr w14:val="tx1"/>
            </w14:solidFill>
          </w14:textFill>
        </w:rPr>
      </w:pPr>
      <w:r>
        <w:rPr>
          <w:rFonts w:ascii="宋体" w:hAnsi="宋体" w:eastAsia="宋体" w:cs="宋体"/>
          <w:b w:val="0"/>
          <w:color w:val="000000" w:themeColor="text1"/>
          <w:sz w:val="24"/>
          <w:szCs w:val="24"/>
          <w14:textFill>
            <w14:solidFill>
              <w14:schemeClr w14:val="tx1"/>
            </w14:solidFill>
          </w14:textFill>
        </w:rPr>
        <w:t>投标人代表签字盖章：</w:t>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 xml:space="preserve">        </w:t>
      </w:r>
    </w:p>
    <w:p w14:paraId="2F54E2B9">
      <w:pPr>
        <w:snapToGrid w:val="0"/>
        <w:spacing w:line="580" w:lineRule="exact"/>
        <w:jc w:val="left"/>
        <w:rPr>
          <w:rFonts w:hint="eastAsia" w:ascii="宋体" w:hAnsi="宋体" w:eastAsia="宋体" w:cs="宋体"/>
          <w:color w:val="000000" w:themeColor="text1"/>
          <w:szCs w:val="24"/>
          <w14:textFill>
            <w14:solidFill>
              <w14:schemeClr w14:val="tx1"/>
            </w14:solidFill>
          </w14:textFill>
        </w:rPr>
      </w:pPr>
    </w:p>
    <w:p w14:paraId="668A9631">
      <w:pPr>
        <w:snapToGrid w:val="0"/>
        <w:spacing w:line="580" w:lineRule="exact"/>
        <w:jc w:val="left"/>
        <w:rPr>
          <w:rFonts w:hint="eastAsia" w:ascii="宋体" w:hAnsi="宋体" w:eastAsia="宋体" w:cs="宋体"/>
          <w:color w:val="000000" w:themeColor="text1"/>
          <w:szCs w:val="24"/>
          <w14:textFill>
            <w14:solidFill>
              <w14:schemeClr w14:val="tx1"/>
            </w14:solidFill>
          </w14:textFill>
        </w:rPr>
      </w:pPr>
    </w:p>
    <w:p w14:paraId="6DB0BE79">
      <w:pPr>
        <w:pStyle w:val="94"/>
        <w:tabs>
          <w:tab w:val="clear" w:pos="2340"/>
        </w:tabs>
        <w:spacing w:line="240" w:lineRule="auto"/>
        <w:jc w:val="left"/>
        <w:rPr>
          <w:rFonts w:ascii="宋体" w:hAnsi="宋体" w:eastAsia="宋体" w:cs="宋体"/>
          <w:color w:val="000000" w:themeColor="text1"/>
          <w:sz w:val="24"/>
          <w:szCs w:val="24"/>
          <w14:textFill>
            <w14:solidFill>
              <w14:schemeClr w14:val="tx1"/>
            </w14:solidFill>
          </w14:textFill>
        </w:rPr>
        <w:sectPr>
          <w:headerReference r:id="rId11" w:type="default"/>
          <w:footerReference r:id="rId12" w:type="default"/>
          <w:pgSz w:w="16838" w:h="11906" w:orient="landscape"/>
          <w:pgMar w:top="1080" w:right="1440" w:bottom="1080" w:left="1440" w:header="851" w:footer="992" w:gutter="0"/>
          <w:cols w:space="425" w:num="1"/>
          <w:docGrid w:type="lines" w:linePitch="326" w:charSpace="0"/>
        </w:sectPr>
      </w:pPr>
    </w:p>
    <w:p w14:paraId="30881EA5">
      <w:pPr>
        <w:spacing w:line="360" w:lineRule="auto"/>
        <w:jc w:val="center"/>
        <w:outlineLvl w:val="1"/>
        <w:rPr>
          <w:rFonts w:hint="eastAsia" w:ascii="宋体" w:hAnsi="宋体" w:eastAsia="宋体" w:cs="宋体"/>
          <w:b/>
          <w:bCs/>
          <w:color w:val="000000" w:themeColor="text1"/>
          <w:sz w:val="28"/>
          <w:szCs w:val="28"/>
          <w:lang w:val="zh-CN"/>
          <w14:textFill>
            <w14:solidFill>
              <w14:schemeClr w14:val="tx1"/>
            </w14:solidFill>
          </w14:textFill>
        </w:rPr>
      </w:pPr>
      <w:bookmarkStart w:id="419" w:name="_Toc12251"/>
      <w:bookmarkStart w:id="420" w:name="_Toc136173623"/>
      <w:r>
        <w:rPr>
          <w:rFonts w:hint="eastAsia" w:ascii="宋体" w:hAnsi="宋体" w:eastAsia="宋体" w:cs="宋体"/>
          <w:b/>
          <w:bCs/>
          <w:color w:val="000000" w:themeColor="text1"/>
          <w:sz w:val="28"/>
          <w:szCs w:val="28"/>
          <w:lang w:val="zh-CN"/>
          <w14:textFill>
            <w14:solidFill>
              <w14:schemeClr w14:val="tx1"/>
            </w14:solidFill>
          </w14:textFill>
        </w:rPr>
        <w:t>2.投标商资质文件的格式和内容</w:t>
      </w:r>
      <w:bookmarkEnd w:id="419"/>
      <w:bookmarkEnd w:id="420"/>
    </w:p>
    <w:p w14:paraId="710C6EFD">
      <w:pPr>
        <w:rPr>
          <w:rFonts w:hint="eastAsia" w:ascii="宋体" w:hAnsi="宋体" w:eastAsia="宋体" w:cs="宋体"/>
          <w:color w:val="000000" w:themeColor="text1"/>
          <w14:textFill>
            <w14:solidFill>
              <w14:schemeClr w14:val="tx1"/>
            </w14:solidFill>
          </w14:textFill>
        </w:rPr>
      </w:pPr>
    </w:p>
    <w:p w14:paraId="050AD1F4">
      <w:pPr>
        <w:rPr>
          <w:rFonts w:hint="eastAsia" w:ascii="宋体" w:hAnsi="宋体" w:eastAsia="宋体" w:cs="宋体"/>
          <w:color w:val="000000" w:themeColor="text1"/>
          <w14:textFill>
            <w14:solidFill>
              <w14:schemeClr w14:val="tx1"/>
            </w14:solidFill>
          </w14:textFill>
        </w:rPr>
      </w:pPr>
    </w:p>
    <w:p w14:paraId="0B2542CE">
      <w:pPr>
        <w:jc w:val="center"/>
        <w:rPr>
          <w:rFonts w:hint="eastAsia" w:ascii="宋体" w:hAnsi="宋体" w:eastAsia="宋体" w:cs="宋体"/>
          <w:b/>
          <w:color w:val="000000" w:themeColor="text1"/>
          <w:sz w:val="44"/>
          <w:szCs w:val="44"/>
          <w14:textFill>
            <w14:solidFill>
              <w14:schemeClr w14:val="tx1"/>
            </w14:solidFill>
          </w14:textFill>
        </w:rPr>
      </w:pPr>
    </w:p>
    <w:p w14:paraId="2F807F0D">
      <w:pPr>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高州项目、吴川项目</w:t>
      </w:r>
    </w:p>
    <w:p w14:paraId="6F96E19F">
      <w:pPr>
        <w:jc w:val="center"/>
        <w:rPr>
          <w:rFonts w:hint="eastAsia" w:ascii="宋体" w:hAnsi="宋体" w:eastAsia="宋体" w:cs="宋体"/>
          <w:b/>
          <w:color w:val="000000" w:themeColor="text1"/>
          <w:sz w:val="44"/>
          <w:szCs w:val="44"/>
          <w14:textFill>
            <w14:solidFill>
              <w14:schemeClr w14:val="tx1"/>
            </w14:solidFill>
          </w14:textFill>
        </w:rPr>
      </w:pPr>
    </w:p>
    <w:p w14:paraId="0A5A910B">
      <w:pPr>
        <w:jc w:val="center"/>
        <w:rPr>
          <w:rFonts w:hint="eastAsia" w:ascii="宋体" w:hAnsi="宋体" w:eastAsia="宋体" w:cs="宋体"/>
          <w:b/>
          <w:color w:val="000000" w:themeColor="text1"/>
          <w:sz w:val="44"/>
          <w:szCs w:val="44"/>
          <w14:textFill>
            <w14:solidFill>
              <w14:schemeClr w14:val="tx1"/>
            </w14:solidFill>
          </w14:textFill>
        </w:rPr>
      </w:pPr>
    </w:p>
    <w:p w14:paraId="4F7B0546">
      <w:pPr>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2026年度飞灰固化处理服务</w:t>
      </w:r>
    </w:p>
    <w:p w14:paraId="3D8623B3">
      <w:pPr>
        <w:spacing w:line="360" w:lineRule="auto"/>
        <w:jc w:val="center"/>
        <w:rPr>
          <w:rFonts w:hint="eastAsia"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5E1458A0">
      <w:pPr>
        <w:spacing w:line="360" w:lineRule="auto"/>
        <w:jc w:val="center"/>
        <w:rPr>
          <w:rFonts w:hint="eastAsia" w:ascii="宋体" w:hAnsi="宋体" w:eastAsia="宋体" w:cs="宋体"/>
          <w:b/>
          <w:bCs/>
          <w:color w:val="000000" w:themeColor="text1"/>
          <w:sz w:val="84"/>
          <w:szCs w:val="84"/>
          <w14:textFill>
            <w14:solidFill>
              <w14:schemeClr w14:val="tx1"/>
            </w14:solidFill>
          </w14:textFill>
        </w:rPr>
      </w:pPr>
    </w:p>
    <w:p w14:paraId="4D98E0B8">
      <w:pPr>
        <w:widowControl/>
        <w:adjustRightInd w:val="0"/>
        <w:snapToGrid w:val="0"/>
        <w:spacing w:line="360" w:lineRule="auto"/>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第二部分 商务资格投标书</w:t>
      </w:r>
    </w:p>
    <w:p w14:paraId="7CF1D093">
      <w:pPr>
        <w:widowControl/>
        <w:adjustRightInd w:val="0"/>
        <w:snapToGrid w:val="0"/>
        <w:spacing w:line="360" w:lineRule="auto"/>
        <w:jc w:val="center"/>
        <w:rPr>
          <w:rFonts w:hint="eastAsia" w:ascii="宋体" w:hAnsi="宋体" w:eastAsia="宋体" w:cs="宋体"/>
          <w:b/>
          <w:color w:val="000000" w:themeColor="text1"/>
          <w:sz w:val="30"/>
          <w:szCs w:val="30"/>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（招标编号:ITB-LK-GZ/WCFD-YY-fw-2026-001）</w:t>
      </w:r>
    </w:p>
    <w:p w14:paraId="63DBA085">
      <w:pPr>
        <w:jc w:val="center"/>
        <w:rPr>
          <w:rFonts w:hint="eastAsia" w:ascii="宋体" w:hAnsi="宋体" w:eastAsia="宋体" w:cs="宋体"/>
          <w:b/>
          <w:color w:val="000000" w:themeColor="text1"/>
          <w:sz w:val="28"/>
          <w:szCs w:val="28"/>
          <w14:textFill>
            <w14:solidFill>
              <w14:schemeClr w14:val="tx1"/>
            </w14:solidFill>
          </w14:textFill>
        </w:rPr>
      </w:pPr>
    </w:p>
    <w:p w14:paraId="7BA9F7BD">
      <w:pPr>
        <w:jc w:val="center"/>
        <w:rPr>
          <w:rFonts w:hint="eastAsia" w:ascii="宋体" w:hAnsi="宋体" w:eastAsia="宋体" w:cs="宋体"/>
          <w:b/>
          <w:color w:val="000000" w:themeColor="text1"/>
          <w:sz w:val="28"/>
          <w:szCs w:val="28"/>
          <w14:textFill>
            <w14:solidFill>
              <w14:schemeClr w14:val="tx1"/>
            </w14:solidFill>
          </w14:textFill>
        </w:rPr>
      </w:pPr>
    </w:p>
    <w:p w14:paraId="4291FD4E">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75AF65AF">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64DCEE4C">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0AAEC00A">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p>
    <w:p w14:paraId="6D09FEB8">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p>
    <w:p w14:paraId="337DD6CD">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w:t>
      </w:r>
      <w:r>
        <w:rPr>
          <w:rFonts w:hint="eastAsia" w:ascii="宋体" w:hAnsi="宋体" w:eastAsia="宋体" w:cs="宋体"/>
          <w:bCs/>
          <w:color w:val="000000" w:themeColor="text1"/>
          <w:sz w:val="28"/>
          <w:szCs w:val="28"/>
          <w14:textFill>
            <w14:solidFill>
              <w14:schemeClr w14:val="tx1"/>
            </w14:solidFill>
          </w14:textFill>
        </w:rPr>
        <w:t>五</w:t>
      </w:r>
      <w:r>
        <w:rPr>
          <w:rFonts w:hint="eastAsia" w:ascii="宋体" w:hAnsi="宋体" w:eastAsia="宋体" w:cs="宋体"/>
          <w:bCs/>
          <w:color w:val="000000" w:themeColor="text1"/>
          <w:sz w:val="28"/>
          <w:szCs w:val="28"/>
          <w:lang w:val="zh-CN"/>
          <w14:textFill>
            <w14:solidFill>
              <w14:schemeClr w14:val="tx1"/>
            </w14:solidFill>
          </w14:textFill>
        </w:rPr>
        <w:t>年  月   日</w:t>
      </w:r>
    </w:p>
    <w:p w14:paraId="7DA636FC">
      <w:pPr>
        <w:tabs>
          <w:tab w:val="left" w:pos="0"/>
          <w:tab w:val="left" w:pos="567"/>
          <w:tab w:val="left" w:pos="1107"/>
        </w:tabs>
        <w:spacing w:line="360" w:lineRule="auto"/>
        <w:rPr>
          <w:rFonts w:hint="eastAsia" w:ascii="宋体" w:hAnsi="宋体" w:eastAsia="宋体" w:cs="宋体"/>
          <w:color w:val="000000" w:themeColor="text1"/>
          <w:sz w:val="28"/>
          <w:szCs w:val="28"/>
          <w14:textFill>
            <w14:solidFill>
              <w14:schemeClr w14:val="tx1"/>
            </w14:solidFill>
          </w14:textFill>
        </w:rPr>
      </w:pPr>
    </w:p>
    <w:p w14:paraId="6C984A72">
      <w:pPr>
        <w:tabs>
          <w:tab w:val="left" w:pos="0"/>
          <w:tab w:val="left" w:pos="567"/>
          <w:tab w:val="left" w:pos="1107"/>
        </w:tabs>
        <w:spacing w:line="360" w:lineRule="auto"/>
        <w:rPr>
          <w:rFonts w:hint="eastAsia" w:ascii="宋体" w:hAnsi="宋体" w:eastAsia="宋体" w:cs="宋体"/>
          <w:color w:val="000000" w:themeColor="text1"/>
          <w:sz w:val="28"/>
          <w:szCs w:val="28"/>
          <w14:textFill>
            <w14:solidFill>
              <w14:schemeClr w14:val="tx1"/>
            </w14:solidFill>
          </w14:textFill>
        </w:rPr>
      </w:pPr>
    </w:p>
    <w:p w14:paraId="296CDCA5">
      <w:pPr>
        <w:rPr>
          <w:rFonts w:hint="eastAsia" w:ascii="宋体" w:hAnsi="宋体" w:eastAsia="宋体" w:cs="宋体"/>
          <w:color w:val="000000" w:themeColor="text1"/>
          <w14:textFill>
            <w14:solidFill>
              <w14:schemeClr w14:val="tx1"/>
            </w14:solidFill>
          </w14:textFill>
        </w:rPr>
      </w:pPr>
    </w:p>
    <w:p w14:paraId="505968B4">
      <w:pPr>
        <w:spacing w:line="580" w:lineRule="exact"/>
        <w:rPr>
          <w:rFonts w:hint="eastAsia" w:ascii="宋体" w:hAnsi="宋体" w:eastAsia="宋体" w:cs="宋体"/>
          <w:b/>
          <w:bCs/>
          <w:color w:val="000000" w:themeColor="text1"/>
          <w:szCs w:val="24"/>
          <w14:textFill>
            <w14:solidFill>
              <w14:schemeClr w14:val="tx1"/>
            </w14:solidFill>
          </w14:textFill>
        </w:rPr>
      </w:pPr>
      <w:bookmarkStart w:id="421" w:name="_Toc176085646"/>
      <w:bookmarkStart w:id="422" w:name="_Toc174521077"/>
      <w:r>
        <w:rPr>
          <w:rFonts w:hint="eastAsia" w:ascii="宋体" w:hAnsi="宋体" w:eastAsia="宋体" w:cs="宋体"/>
          <w:b/>
          <w:color w:val="000000" w:themeColor="text1"/>
          <w:szCs w:val="24"/>
          <w14:textFill>
            <w14:solidFill>
              <w14:schemeClr w14:val="tx1"/>
            </w14:solidFill>
          </w14:textFill>
        </w:rPr>
        <w:t>附录5-2-1投标人企业基本情况表</w:t>
      </w:r>
    </w:p>
    <w:p w14:paraId="1112952A">
      <w:pPr>
        <w:spacing w:line="580" w:lineRule="exact"/>
        <w:jc w:val="center"/>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投标人企业基本情况表</w:t>
      </w:r>
    </w:p>
    <w:tbl>
      <w:tblPr>
        <w:tblStyle w:val="48"/>
        <w:tblW w:w="10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513"/>
        <w:gridCol w:w="1482"/>
        <w:gridCol w:w="709"/>
        <w:gridCol w:w="957"/>
        <w:gridCol w:w="320"/>
        <w:gridCol w:w="940"/>
        <w:gridCol w:w="51"/>
        <w:gridCol w:w="1560"/>
        <w:gridCol w:w="231"/>
        <w:gridCol w:w="478"/>
        <w:gridCol w:w="1919"/>
      </w:tblGrid>
      <w:tr w14:paraId="5F4B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14:paraId="10F12296">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公司名</w:t>
            </w:r>
            <w:r>
              <w:rPr>
                <w:rFonts w:hint="eastAsia" w:ascii="宋体" w:hAnsi="宋体" w:eastAsia="宋体" w:cs="宋体"/>
                <w:color w:val="000000" w:themeColor="text1"/>
                <w:kern w:val="0"/>
                <w:szCs w:val="24"/>
                <w14:textFill>
                  <w14:solidFill>
                    <w14:schemeClr w14:val="tx1"/>
                  </w14:solidFill>
                </w14:textFill>
              </w:rPr>
              <w:t>称</w:t>
            </w:r>
          </w:p>
        </w:tc>
        <w:tc>
          <w:tcPr>
            <w:tcW w:w="8647" w:type="dxa"/>
            <w:gridSpan w:val="10"/>
            <w:tcMar>
              <w:left w:w="28" w:type="dxa"/>
              <w:right w:w="28" w:type="dxa"/>
            </w:tcMar>
            <w:vAlign w:val="center"/>
          </w:tcPr>
          <w:p w14:paraId="0DC87C0F">
            <w:pPr>
              <w:autoSpaceDE w:val="0"/>
              <w:autoSpaceDN w:val="0"/>
              <w:adjustRightInd w:val="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tc>
      </w:tr>
      <w:tr w14:paraId="468E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14:paraId="00F5A1FB">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公司地</w:t>
            </w:r>
            <w:r>
              <w:rPr>
                <w:rFonts w:hint="eastAsia" w:ascii="宋体" w:hAnsi="宋体" w:eastAsia="宋体" w:cs="宋体"/>
                <w:color w:val="000000" w:themeColor="text1"/>
                <w:kern w:val="0"/>
                <w:szCs w:val="24"/>
                <w14:textFill>
                  <w14:solidFill>
                    <w14:schemeClr w14:val="tx1"/>
                  </w14:solidFill>
                </w14:textFill>
              </w:rPr>
              <w:t>址</w:t>
            </w:r>
          </w:p>
        </w:tc>
        <w:tc>
          <w:tcPr>
            <w:tcW w:w="4459" w:type="dxa"/>
            <w:gridSpan w:val="6"/>
            <w:tcMar>
              <w:left w:w="28" w:type="dxa"/>
              <w:right w:w="28" w:type="dxa"/>
            </w:tcMar>
            <w:vAlign w:val="center"/>
          </w:tcPr>
          <w:p w14:paraId="6A53D334">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14:paraId="2CDA5480">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信用代码</w:t>
            </w:r>
          </w:p>
        </w:tc>
        <w:tc>
          <w:tcPr>
            <w:tcW w:w="2628" w:type="dxa"/>
            <w:gridSpan w:val="3"/>
            <w:tcMar>
              <w:left w:w="28" w:type="dxa"/>
              <w:right w:w="28" w:type="dxa"/>
            </w:tcMar>
            <w:vAlign w:val="center"/>
          </w:tcPr>
          <w:p w14:paraId="4EE872F0">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r>
      <w:tr w14:paraId="1347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5AB1BF3F">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26"/>
                <w:kern w:val="0"/>
                <w:szCs w:val="24"/>
                <w14:textFill>
                  <w14:solidFill>
                    <w14:schemeClr w14:val="tx1"/>
                  </w14:solidFill>
                </w14:textFill>
              </w:rPr>
              <w:t>法定代表</w:t>
            </w:r>
            <w:r>
              <w:rPr>
                <w:rFonts w:hint="eastAsia" w:ascii="宋体" w:hAnsi="宋体" w:eastAsia="宋体" w:cs="宋体"/>
                <w:color w:val="000000" w:themeColor="text1"/>
                <w:spacing w:val="1"/>
                <w:kern w:val="0"/>
                <w:szCs w:val="24"/>
                <w14:textFill>
                  <w14:solidFill>
                    <w14:schemeClr w14:val="tx1"/>
                  </w14:solidFill>
                </w14:textFill>
              </w:rPr>
              <w:t>人</w:t>
            </w:r>
          </w:p>
        </w:tc>
        <w:tc>
          <w:tcPr>
            <w:tcW w:w="4459" w:type="dxa"/>
            <w:gridSpan w:val="6"/>
            <w:tcMar>
              <w:left w:w="28" w:type="dxa"/>
              <w:right w:w="28" w:type="dxa"/>
            </w:tcMar>
            <w:vAlign w:val="center"/>
          </w:tcPr>
          <w:p w14:paraId="7002BC8F">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14:paraId="3408B0A3">
            <w:pPr>
              <w:autoSpaceDE w:val="0"/>
              <w:autoSpaceDN w:val="0"/>
              <w:adjustRightInd w:val="0"/>
              <w:jc w:val="center"/>
              <w:rPr>
                <w:rFonts w:hint="eastAsia"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注册资</w:t>
            </w:r>
            <w:r>
              <w:rPr>
                <w:rFonts w:hint="eastAsia" w:ascii="宋体" w:hAnsi="宋体" w:eastAsia="宋体" w:cs="宋体"/>
                <w:color w:val="000000" w:themeColor="text1"/>
                <w:kern w:val="0"/>
                <w:szCs w:val="24"/>
                <w14:textFill>
                  <w14:solidFill>
                    <w14:schemeClr w14:val="tx1"/>
                  </w14:solidFill>
                </w14:textFill>
              </w:rPr>
              <w:t>本</w:t>
            </w:r>
          </w:p>
        </w:tc>
        <w:tc>
          <w:tcPr>
            <w:tcW w:w="2628" w:type="dxa"/>
            <w:gridSpan w:val="3"/>
            <w:tcMar>
              <w:left w:w="28" w:type="dxa"/>
              <w:right w:w="28" w:type="dxa"/>
            </w:tcMar>
            <w:vAlign w:val="center"/>
          </w:tcPr>
          <w:p w14:paraId="4C6D2C44">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r>
      <w:tr w14:paraId="65D2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28" w:hRule="atLeast"/>
          <w:jc w:val="center"/>
        </w:trPr>
        <w:tc>
          <w:tcPr>
            <w:tcW w:w="1513" w:type="dxa"/>
            <w:tcMar>
              <w:left w:w="28" w:type="dxa"/>
              <w:right w:w="28" w:type="dxa"/>
            </w:tcMar>
            <w:vAlign w:val="center"/>
          </w:tcPr>
          <w:p w14:paraId="4B108C9C">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企业类</w:t>
            </w:r>
            <w:r>
              <w:rPr>
                <w:rFonts w:hint="eastAsia" w:ascii="宋体" w:hAnsi="宋体" w:eastAsia="宋体" w:cs="宋体"/>
                <w:color w:val="000000" w:themeColor="text1"/>
                <w:kern w:val="0"/>
                <w:szCs w:val="24"/>
                <w14:textFill>
                  <w14:solidFill>
                    <w14:schemeClr w14:val="tx1"/>
                  </w14:solidFill>
                </w14:textFill>
              </w:rPr>
              <w:t>型</w:t>
            </w:r>
          </w:p>
        </w:tc>
        <w:tc>
          <w:tcPr>
            <w:tcW w:w="4459" w:type="dxa"/>
            <w:gridSpan w:val="6"/>
            <w:tcMar>
              <w:left w:w="28" w:type="dxa"/>
              <w:right w:w="28" w:type="dxa"/>
            </w:tcMar>
            <w:vAlign w:val="center"/>
          </w:tcPr>
          <w:p w14:paraId="54EF21AD">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c>
          <w:tcPr>
            <w:tcW w:w="1560" w:type="dxa"/>
            <w:tcMar>
              <w:left w:w="28" w:type="dxa"/>
              <w:right w:w="28" w:type="dxa"/>
            </w:tcMar>
            <w:vAlign w:val="center"/>
          </w:tcPr>
          <w:p w14:paraId="74EBBDFD">
            <w:pPr>
              <w:autoSpaceDE w:val="0"/>
              <w:autoSpaceDN w:val="0"/>
              <w:adjustRightInd w:val="0"/>
              <w:jc w:val="center"/>
              <w:rPr>
                <w:rFonts w:hint="eastAsia"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成立日</w:t>
            </w:r>
            <w:r>
              <w:rPr>
                <w:rFonts w:hint="eastAsia" w:ascii="宋体" w:hAnsi="宋体" w:eastAsia="宋体" w:cs="宋体"/>
                <w:color w:val="000000" w:themeColor="text1"/>
                <w:kern w:val="0"/>
                <w:szCs w:val="24"/>
                <w14:textFill>
                  <w14:solidFill>
                    <w14:schemeClr w14:val="tx1"/>
                  </w14:solidFill>
                </w14:textFill>
              </w:rPr>
              <w:t>期</w:t>
            </w:r>
          </w:p>
        </w:tc>
        <w:tc>
          <w:tcPr>
            <w:tcW w:w="2628" w:type="dxa"/>
            <w:gridSpan w:val="3"/>
            <w:tcMar>
              <w:left w:w="28" w:type="dxa"/>
              <w:right w:w="28" w:type="dxa"/>
            </w:tcMar>
            <w:vAlign w:val="center"/>
          </w:tcPr>
          <w:p w14:paraId="12E49271">
            <w:pPr>
              <w:autoSpaceDE w:val="0"/>
              <w:autoSpaceDN w:val="0"/>
              <w:adjustRightInd w:val="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年   月  日</w:t>
            </w:r>
          </w:p>
        </w:tc>
      </w:tr>
      <w:tr w14:paraId="193C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14:paraId="5F177E5E">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总经</w:t>
            </w:r>
            <w:r>
              <w:rPr>
                <w:rFonts w:hint="eastAsia" w:ascii="宋体" w:hAnsi="宋体" w:eastAsia="宋体" w:cs="宋体"/>
                <w:color w:val="000000" w:themeColor="text1"/>
                <w:spacing w:val="1"/>
                <w:kern w:val="0"/>
                <w:szCs w:val="24"/>
                <w14:textFill>
                  <w14:solidFill>
                    <w14:schemeClr w14:val="tx1"/>
                  </w14:solidFill>
                </w14:textFill>
              </w:rPr>
              <w:t>理</w:t>
            </w:r>
          </w:p>
        </w:tc>
        <w:tc>
          <w:tcPr>
            <w:tcW w:w="1482" w:type="dxa"/>
            <w:tcMar>
              <w:left w:w="28" w:type="dxa"/>
              <w:right w:w="28" w:type="dxa"/>
            </w:tcMar>
            <w:vAlign w:val="center"/>
          </w:tcPr>
          <w:p w14:paraId="2357C520">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709" w:type="dxa"/>
            <w:tcMar>
              <w:left w:w="28" w:type="dxa"/>
              <w:right w:w="28" w:type="dxa"/>
            </w:tcMar>
            <w:vAlign w:val="center"/>
          </w:tcPr>
          <w:p w14:paraId="79322274">
            <w:pPr>
              <w:autoSpaceDE w:val="0"/>
              <w:autoSpaceDN w:val="0"/>
              <w:adjustRightInd w:val="0"/>
              <w:jc w:val="center"/>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性别</w:t>
            </w:r>
          </w:p>
        </w:tc>
        <w:tc>
          <w:tcPr>
            <w:tcW w:w="1277" w:type="dxa"/>
            <w:gridSpan w:val="2"/>
            <w:tcMar>
              <w:left w:w="28" w:type="dxa"/>
              <w:right w:w="28" w:type="dxa"/>
            </w:tcMar>
            <w:vAlign w:val="center"/>
          </w:tcPr>
          <w:p w14:paraId="1360C76F">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14:paraId="02CFBA94">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p>
        </w:tc>
        <w:tc>
          <w:tcPr>
            <w:tcW w:w="1560" w:type="dxa"/>
            <w:tcMar>
              <w:left w:w="28" w:type="dxa"/>
              <w:right w:w="28" w:type="dxa"/>
            </w:tcMar>
            <w:vAlign w:val="center"/>
          </w:tcPr>
          <w:p w14:paraId="76357DA7">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14:paraId="7D227138">
            <w:pPr>
              <w:autoSpaceDE w:val="0"/>
              <w:autoSpaceDN w:val="0"/>
              <w:adjustRightInd w:val="0"/>
              <w:jc w:val="center"/>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传真</w:t>
            </w:r>
          </w:p>
        </w:tc>
        <w:tc>
          <w:tcPr>
            <w:tcW w:w="1919" w:type="dxa"/>
            <w:tcMar>
              <w:left w:w="28" w:type="dxa"/>
              <w:right w:w="28" w:type="dxa"/>
            </w:tcMar>
            <w:vAlign w:val="center"/>
          </w:tcPr>
          <w:p w14:paraId="2D5E645C">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r>
      <w:tr w14:paraId="1F1BF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3" w:hRule="atLeast"/>
          <w:jc w:val="center"/>
        </w:trPr>
        <w:tc>
          <w:tcPr>
            <w:tcW w:w="1513" w:type="dxa"/>
            <w:tcMar>
              <w:left w:w="28" w:type="dxa"/>
              <w:right w:w="28" w:type="dxa"/>
            </w:tcMar>
            <w:vAlign w:val="center"/>
          </w:tcPr>
          <w:p w14:paraId="51DE22E9">
            <w:pPr>
              <w:autoSpaceDE w:val="0"/>
              <w:autoSpaceDN w:val="0"/>
              <w:adjustRightInd w:val="0"/>
              <w:jc w:val="center"/>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公司网址</w:t>
            </w:r>
          </w:p>
        </w:tc>
        <w:tc>
          <w:tcPr>
            <w:tcW w:w="3468" w:type="dxa"/>
            <w:gridSpan w:val="4"/>
            <w:tcMar>
              <w:left w:w="28" w:type="dxa"/>
              <w:right w:w="28" w:type="dxa"/>
            </w:tcMar>
            <w:vAlign w:val="center"/>
          </w:tcPr>
          <w:p w14:paraId="51EE198A">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14:paraId="36569541">
            <w:pPr>
              <w:autoSpaceDE w:val="0"/>
              <w:autoSpaceDN w:val="0"/>
              <w:adjustRightInd w:val="0"/>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邮箱</w:t>
            </w:r>
          </w:p>
        </w:tc>
        <w:tc>
          <w:tcPr>
            <w:tcW w:w="1560" w:type="dxa"/>
            <w:tcMar>
              <w:left w:w="28" w:type="dxa"/>
              <w:right w:w="28" w:type="dxa"/>
            </w:tcMar>
            <w:vAlign w:val="center"/>
          </w:tcPr>
          <w:p w14:paraId="32A8BB73">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14:paraId="0E2C06A5">
            <w:pPr>
              <w:autoSpaceDE w:val="0"/>
              <w:autoSpaceDN w:val="0"/>
              <w:adjustRightInd w:val="0"/>
              <w:jc w:val="center"/>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邮编</w:t>
            </w:r>
          </w:p>
        </w:tc>
        <w:tc>
          <w:tcPr>
            <w:tcW w:w="1919" w:type="dxa"/>
            <w:tcMar>
              <w:left w:w="28" w:type="dxa"/>
              <w:right w:w="28" w:type="dxa"/>
            </w:tcMar>
            <w:vAlign w:val="center"/>
          </w:tcPr>
          <w:p w14:paraId="4A078F94">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r>
      <w:tr w14:paraId="33AD5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14:paraId="0FEB382A">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职工人</w:t>
            </w:r>
            <w:r>
              <w:rPr>
                <w:rFonts w:hint="eastAsia" w:ascii="宋体" w:hAnsi="宋体" w:eastAsia="宋体" w:cs="宋体"/>
                <w:color w:val="000000" w:themeColor="text1"/>
                <w:kern w:val="0"/>
                <w:szCs w:val="24"/>
                <w14:textFill>
                  <w14:solidFill>
                    <w14:schemeClr w14:val="tx1"/>
                  </w14:solidFill>
                </w14:textFill>
              </w:rPr>
              <w:t>数</w:t>
            </w:r>
          </w:p>
        </w:tc>
        <w:tc>
          <w:tcPr>
            <w:tcW w:w="8647" w:type="dxa"/>
            <w:gridSpan w:val="10"/>
            <w:tcMar>
              <w:left w:w="28" w:type="dxa"/>
              <w:right w:w="28" w:type="dxa"/>
            </w:tcMar>
            <w:vAlign w:val="center"/>
          </w:tcPr>
          <w:p w14:paraId="4DD65CA7">
            <w:pPr>
              <w:autoSpaceDE w:val="0"/>
              <w:autoSpaceDN w:val="0"/>
              <w:adjustRightInd w:val="0"/>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总共     人，其中高级职称：   人，中级职称：      人，</w:t>
            </w:r>
            <w:r>
              <w:rPr>
                <w:rFonts w:hint="eastAsia" w:ascii="宋体" w:hAnsi="宋体" w:eastAsia="宋体" w:cs="宋体"/>
                <w:color w:val="000000" w:themeColor="text1"/>
                <w:spacing w:val="-6"/>
                <w:szCs w:val="24"/>
                <w14:textFill>
                  <w14:solidFill>
                    <w14:schemeClr w14:val="tx1"/>
                  </w14:solidFill>
                </w14:textFill>
              </w:rPr>
              <w:t>生产线人数：</w:t>
            </w:r>
          </w:p>
        </w:tc>
      </w:tr>
      <w:tr w14:paraId="051FA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tcPr>
          <w:p w14:paraId="1B261FD9">
            <w:pPr>
              <w:spacing w:before="120" w:after="120"/>
              <w:rPr>
                <w:rFonts w:hint="eastAsia"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厂 房 面 积</w:t>
            </w:r>
          </w:p>
        </w:tc>
        <w:tc>
          <w:tcPr>
            <w:tcW w:w="3148" w:type="dxa"/>
            <w:gridSpan w:val="3"/>
            <w:tcMar>
              <w:left w:w="28" w:type="dxa"/>
              <w:right w:w="28" w:type="dxa"/>
            </w:tcMar>
          </w:tcPr>
          <w:p w14:paraId="20A08D4B">
            <w:pPr>
              <w:spacing w:before="120" w:after="120"/>
              <w:rPr>
                <w:rFonts w:hint="eastAsia" w:ascii="宋体" w:hAnsi="宋体" w:eastAsia="宋体" w:cs="宋体"/>
                <w:color w:val="000000" w:themeColor="text1"/>
                <w:spacing w:val="-6"/>
                <w:szCs w:val="24"/>
                <w14:textFill>
                  <w14:solidFill>
                    <w14:schemeClr w14:val="tx1"/>
                  </w14:solidFill>
                </w14:textFill>
              </w:rPr>
            </w:pPr>
          </w:p>
        </w:tc>
        <w:tc>
          <w:tcPr>
            <w:tcW w:w="1260" w:type="dxa"/>
            <w:gridSpan w:val="2"/>
          </w:tcPr>
          <w:p w14:paraId="4A593855">
            <w:pPr>
              <w:spacing w:before="120" w:after="120"/>
              <w:rPr>
                <w:rFonts w:hint="eastAsia"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是否租赁：□是□否</w:t>
            </w:r>
          </w:p>
        </w:tc>
        <w:tc>
          <w:tcPr>
            <w:tcW w:w="1842" w:type="dxa"/>
            <w:gridSpan w:val="3"/>
          </w:tcPr>
          <w:p w14:paraId="5BD2F6A9">
            <w:pPr>
              <w:spacing w:before="120" w:after="120"/>
              <w:rPr>
                <w:rFonts w:hint="eastAsia"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主要产品</w:t>
            </w:r>
          </w:p>
        </w:tc>
        <w:tc>
          <w:tcPr>
            <w:tcW w:w="2397" w:type="dxa"/>
            <w:gridSpan w:val="2"/>
          </w:tcPr>
          <w:p w14:paraId="474D8CCF">
            <w:pPr>
              <w:spacing w:before="120" w:after="120"/>
              <w:rPr>
                <w:rFonts w:hint="eastAsia" w:ascii="宋体" w:hAnsi="宋体" w:eastAsia="宋体" w:cs="宋体"/>
                <w:color w:val="000000" w:themeColor="text1"/>
                <w:spacing w:val="-6"/>
                <w:szCs w:val="24"/>
                <w14:textFill>
                  <w14:solidFill>
                    <w14:schemeClr w14:val="tx1"/>
                  </w14:solidFill>
                </w14:textFill>
              </w:rPr>
            </w:pPr>
          </w:p>
        </w:tc>
      </w:tr>
      <w:tr w14:paraId="3A59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364" w:hRule="atLeast"/>
          <w:jc w:val="center"/>
        </w:trPr>
        <w:tc>
          <w:tcPr>
            <w:tcW w:w="1513" w:type="dxa"/>
            <w:shd w:val="solid" w:color="FFFFFF" w:fill="auto"/>
            <w:tcMar>
              <w:left w:w="28" w:type="dxa"/>
              <w:right w:w="28" w:type="dxa"/>
            </w:tcMar>
            <w:vAlign w:val="center"/>
          </w:tcPr>
          <w:p w14:paraId="2B0CDAB0">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营业</w:t>
            </w:r>
            <w:r>
              <w:rPr>
                <w:rFonts w:hint="eastAsia" w:ascii="宋体" w:hAnsi="宋体" w:eastAsia="宋体" w:cs="宋体"/>
                <w:color w:val="000000" w:themeColor="text1"/>
                <w:spacing w:val="1"/>
                <w:kern w:val="0"/>
                <w:szCs w:val="24"/>
                <w14:textFill>
                  <w14:solidFill>
                    <w14:schemeClr w14:val="tx1"/>
                  </w14:solidFill>
                </w14:textFill>
              </w:rPr>
              <w:t>额</w:t>
            </w:r>
          </w:p>
        </w:tc>
        <w:tc>
          <w:tcPr>
            <w:tcW w:w="8647" w:type="dxa"/>
            <w:gridSpan w:val="10"/>
            <w:tcMar>
              <w:left w:w="28" w:type="dxa"/>
              <w:right w:w="28" w:type="dxa"/>
            </w:tcMar>
            <w:vAlign w:val="center"/>
          </w:tcPr>
          <w:p w14:paraId="272E6808">
            <w:pPr>
              <w:autoSpaceDE w:val="0"/>
              <w:autoSpaceDN w:val="0"/>
              <w:adjustRightInd w:val="0"/>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近三年营业额：</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 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万元</w:t>
            </w:r>
          </w:p>
        </w:tc>
      </w:tr>
      <w:tr w14:paraId="038D4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038" w:hRule="atLeast"/>
          <w:jc w:val="center"/>
        </w:trPr>
        <w:tc>
          <w:tcPr>
            <w:tcW w:w="1513" w:type="dxa"/>
            <w:shd w:val="solid" w:color="FFFFFF" w:fill="auto"/>
            <w:tcMar>
              <w:left w:w="28" w:type="dxa"/>
              <w:right w:w="28" w:type="dxa"/>
            </w:tcMar>
            <w:vAlign w:val="center"/>
          </w:tcPr>
          <w:p w14:paraId="21916897">
            <w:pPr>
              <w:autoSpaceDE w:val="0"/>
              <w:autoSpaceDN w:val="0"/>
              <w:adjustRightInd w:val="0"/>
              <w:jc w:val="center"/>
              <w:rPr>
                <w:rFonts w:hint="eastAsia" w:ascii="宋体" w:hAnsi="宋体" w:eastAsia="宋体" w:cs="宋体"/>
                <w:bCs/>
                <w:iCs/>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经营范</w:t>
            </w:r>
            <w:r>
              <w:rPr>
                <w:rFonts w:hint="eastAsia" w:ascii="宋体" w:hAnsi="宋体" w:eastAsia="宋体" w:cs="宋体"/>
                <w:color w:val="000000" w:themeColor="text1"/>
                <w:kern w:val="0"/>
                <w:szCs w:val="24"/>
                <w14:textFill>
                  <w14:solidFill>
                    <w14:schemeClr w14:val="tx1"/>
                  </w14:solidFill>
                </w14:textFill>
              </w:rPr>
              <w:t>围</w:t>
            </w:r>
          </w:p>
        </w:tc>
        <w:tc>
          <w:tcPr>
            <w:tcW w:w="8647" w:type="dxa"/>
            <w:gridSpan w:val="10"/>
            <w:tcMar>
              <w:left w:w="28" w:type="dxa"/>
              <w:right w:w="28" w:type="dxa"/>
            </w:tcMar>
            <w:vAlign w:val="center"/>
          </w:tcPr>
          <w:p w14:paraId="62662459">
            <w:pPr>
              <w:autoSpaceDE w:val="0"/>
              <w:autoSpaceDN w:val="0"/>
              <w:adjustRightInd w:val="0"/>
              <w:rPr>
                <w:rFonts w:hint="eastAsia" w:ascii="宋体" w:hAnsi="宋体" w:eastAsia="宋体" w:cs="宋体"/>
                <w:bCs/>
                <w:color w:val="000000" w:themeColor="text1"/>
                <w:szCs w:val="24"/>
                <w14:textFill>
                  <w14:solidFill>
                    <w14:schemeClr w14:val="tx1"/>
                  </w14:solidFill>
                </w14:textFill>
              </w:rPr>
            </w:pPr>
          </w:p>
        </w:tc>
      </w:tr>
      <w:tr w14:paraId="7D71A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385" w:hRule="atLeast"/>
          <w:jc w:val="center"/>
        </w:trPr>
        <w:tc>
          <w:tcPr>
            <w:tcW w:w="1513" w:type="dxa"/>
            <w:vMerge w:val="restart"/>
            <w:shd w:val="solid" w:color="FFFFFF" w:fill="auto"/>
            <w:tcMar>
              <w:left w:w="28" w:type="dxa"/>
              <w:right w:w="28" w:type="dxa"/>
            </w:tcMar>
            <w:vAlign w:val="center"/>
          </w:tcPr>
          <w:p w14:paraId="5EC4CEE9">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后附资料</w:t>
            </w:r>
          </w:p>
        </w:tc>
        <w:tc>
          <w:tcPr>
            <w:tcW w:w="8647" w:type="dxa"/>
            <w:gridSpan w:val="10"/>
            <w:tcMar>
              <w:left w:w="28" w:type="dxa"/>
              <w:right w:w="28" w:type="dxa"/>
            </w:tcMar>
            <w:vAlign w:val="center"/>
          </w:tcPr>
          <w:p w14:paraId="3F42B6F5">
            <w:pPr>
              <w:autoSpaceDE w:val="0"/>
              <w:autoSpaceDN w:val="0"/>
              <w:adjustRightInd w:val="0"/>
              <w:spacing w:line="32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公司简介</w:t>
            </w:r>
          </w:p>
        </w:tc>
      </w:tr>
      <w:tr w14:paraId="161EE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407" w:hRule="atLeast"/>
          <w:jc w:val="center"/>
        </w:trPr>
        <w:tc>
          <w:tcPr>
            <w:tcW w:w="1513" w:type="dxa"/>
            <w:vMerge w:val="continue"/>
            <w:shd w:val="solid" w:color="FFFFFF" w:fill="auto"/>
            <w:tcMar>
              <w:left w:w="28" w:type="dxa"/>
              <w:right w:w="28" w:type="dxa"/>
            </w:tcMar>
            <w:vAlign w:val="center"/>
          </w:tcPr>
          <w:p w14:paraId="0C3692B0">
            <w:pPr>
              <w:jc w:val="center"/>
              <w:rPr>
                <w:rFonts w:hint="eastAsia"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14:paraId="24A62D26">
            <w:pPr>
              <w:autoSpaceDE w:val="0"/>
              <w:autoSpaceDN w:val="0"/>
              <w:adjustRightInd w:val="0"/>
              <w:spacing w:line="32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营业执照</w:t>
            </w:r>
          </w:p>
        </w:tc>
      </w:tr>
      <w:tr w14:paraId="23F8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618" w:hRule="atLeast"/>
          <w:jc w:val="center"/>
        </w:trPr>
        <w:tc>
          <w:tcPr>
            <w:tcW w:w="1513" w:type="dxa"/>
            <w:vMerge w:val="continue"/>
            <w:shd w:val="solid" w:color="FFFFFF" w:fill="auto"/>
            <w:tcMar>
              <w:left w:w="28" w:type="dxa"/>
              <w:right w:w="28" w:type="dxa"/>
            </w:tcMar>
            <w:vAlign w:val="center"/>
          </w:tcPr>
          <w:p w14:paraId="39D1C424">
            <w:pPr>
              <w:jc w:val="center"/>
              <w:rPr>
                <w:rFonts w:hint="eastAsia"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14:paraId="3F5E6940">
            <w:pPr>
              <w:autoSpaceDE w:val="0"/>
              <w:autoSpaceDN w:val="0"/>
              <w:adjustRightInd w:val="0"/>
              <w:spacing w:line="32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质量管理体系认证证书、环境管理体系认证证书、职业健康安全管理体系认证证书</w:t>
            </w:r>
          </w:p>
        </w:tc>
      </w:tr>
    </w:tbl>
    <w:p w14:paraId="14ADEA7E">
      <w:pPr>
        <w:snapToGrid w:val="0"/>
        <w:spacing w:line="580" w:lineRule="exact"/>
        <w:jc w:val="left"/>
        <w:rPr>
          <w:rFonts w:hint="eastAsia" w:ascii="宋体" w:hAnsi="宋体" w:eastAsia="宋体" w:cs="宋体"/>
          <w:color w:val="000000" w:themeColor="text1"/>
          <w:szCs w:val="24"/>
          <w14:textFill>
            <w14:solidFill>
              <w14:schemeClr w14:val="tx1"/>
            </w14:solidFill>
          </w14:textFill>
        </w:rPr>
        <w:sectPr>
          <w:headerReference r:id="rId13" w:type="default"/>
          <w:footerReference r:id="rId14" w:type="default"/>
          <w:pgSz w:w="11907" w:h="16840"/>
          <w:pgMar w:top="1418" w:right="1418" w:bottom="1418" w:left="1418" w:header="851" w:footer="680" w:gutter="0"/>
          <w:cols w:space="425" w:num="1"/>
          <w:titlePg/>
          <w:docGrid w:linePitch="536" w:charSpace="7143"/>
        </w:sectPr>
      </w:pPr>
    </w:p>
    <w:p w14:paraId="6F09A808">
      <w:pPr>
        <w:spacing w:line="580" w:lineRule="exact"/>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附录5-2-2投标人的资质证明文件</w:t>
      </w:r>
    </w:p>
    <w:p w14:paraId="608026F4">
      <w:pPr>
        <w:spacing w:line="580" w:lineRule="exact"/>
        <w:rPr>
          <w:rFonts w:hint="eastAsia" w:ascii="宋体" w:hAnsi="宋体" w:eastAsia="宋体" w:cs="宋体"/>
          <w:b/>
          <w:color w:val="000000" w:themeColor="text1"/>
          <w:sz w:val="21"/>
          <w:szCs w:val="21"/>
          <w14:textFill>
            <w14:solidFill>
              <w14:schemeClr w14:val="tx1"/>
            </w14:solidFill>
          </w14:textFill>
        </w:rPr>
      </w:pPr>
    </w:p>
    <w:p w14:paraId="2F6335C9">
      <w:pPr>
        <w:spacing w:line="580" w:lineRule="exac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附录5-2-3主要人员简历</w:t>
      </w:r>
    </w:p>
    <w:p w14:paraId="0C131D04">
      <w:pPr>
        <w:snapToGrid w:val="0"/>
        <w:spacing w:line="580" w:lineRule="exact"/>
        <w:ind w:firstLine="316" w:firstLineChars="150"/>
        <w:jc w:val="left"/>
        <w:rPr>
          <w:rFonts w:hint="eastAsia" w:ascii="宋体" w:hAnsi="宋体" w:eastAsia="宋体" w:cs="宋体"/>
          <w:b/>
          <w:color w:val="000000" w:themeColor="text1"/>
          <w:sz w:val="21"/>
          <w:szCs w:val="21"/>
          <w14:textFill>
            <w14:solidFill>
              <w14:schemeClr w14:val="tx1"/>
            </w14:solidFill>
          </w14:textFill>
        </w:rPr>
      </w:pPr>
    </w:p>
    <w:p w14:paraId="544CD062">
      <w:pPr>
        <w:snapToGrid w:val="0"/>
        <w:spacing w:line="580" w:lineRule="exact"/>
        <w:ind w:firstLine="316" w:firstLineChars="15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项目组织架构</w:t>
      </w:r>
    </w:p>
    <w:tbl>
      <w:tblPr>
        <w:tblStyle w:val="48"/>
        <w:tblW w:w="8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28"/>
        <w:gridCol w:w="1264"/>
        <w:gridCol w:w="1621"/>
        <w:gridCol w:w="960"/>
        <w:gridCol w:w="2392"/>
      </w:tblGrid>
      <w:tr w14:paraId="5CBA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4" w:hRule="atLeast"/>
          <w:jc w:val="center"/>
        </w:trPr>
        <w:tc>
          <w:tcPr>
            <w:tcW w:w="1828" w:type="dxa"/>
            <w:vAlign w:val="center"/>
          </w:tcPr>
          <w:p w14:paraId="21E326B4">
            <w:pPr>
              <w:pStyle w:val="3"/>
              <w:keepNext/>
              <w:spacing w:line="320" w:lineRule="exact"/>
              <w:ind w:left="560" w:right="62" w:hanging="560"/>
              <w:jc w:val="center"/>
              <w:rPr>
                <w:rFonts w:hint="eastAsia"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名    称</w:t>
            </w:r>
          </w:p>
        </w:tc>
        <w:tc>
          <w:tcPr>
            <w:tcW w:w="1264" w:type="dxa"/>
            <w:vAlign w:val="center"/>
          </w:tcPr>
          <w:p w14:paraId="22509ED6">
            <w:pPr>
              <w:pStyle w:val="3"/>
              <w:keepNext/>
              <w:spacing w:line="320" w:lineRule="exact"/>
              <w:ind w:left="600" w:right="62" w:hanging="600"/>
              <w:jc w:val="center"/>
              <w:rPr>
                <w:rFonts w:hint="eastAsia"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职务</w:t>
            </w:r>
          </w:p>
        </w:tc>
        <w:tc>
          <w:tcPr>
            <w:tcW w:w="1621" w:type="dxa"/>
            <w:vAlign w:val="center"/>
          </w:tcPr>
          <w:p w14:paraId="09EA2A3F">
            <w:pPr>
              <w:pStyle w:val="3"/>
              <w:keepNext/>
              <w:spacing w:line="320" w:lineRule="exact"/>
              <w:ind w:left="600" w:right="62" w:hanging="600"/>
              <w:jc w:val="center"/>
              <w:rPr>
                <w:rFonts w:hint="eastAsia"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职称</w:t>
            </w:r>
          </w:p>
          <w:p w14:paraId="776376B2">
            <w:pPr>
              <w:pStyle w:val="3"/>
              <w:keepNext/>
              <w:spacing w:line="320" w:lineRule="exact"/>
              <w:ind w:left="600" w:right="62" w:hanging="600"/>
              <w:jc w:val="center"/>
              <w:rPr>
                <w:rFonts w:hint="eastAsia"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资格证书编号</w:t>
            </w:r>
          </w:p>
        </w:tc>
        <w:tc>
          <w:tcPr>
            <w:tcW w:w="960" w:type="dxa"/>
          </w:tcPr>
          <w:p w14:paraId="3DCD7344">
            <w:pPr>
              <w:pStyle w:val="3"/>
              <w:keepNext/>
              <w:spacing w:line="320" w:lineRule="exact"/>
              <w:ind w:left="600" w:right="62" w:hanging="600"/>
              <w:jc w:val="center"/>
              <w:rPr>
                <w:rFonts w:hint="eastAsia"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就职单位</w:t>
            </w:r>
          </w:p>
        </w:tc>
        <w:tc>
          <w:tcPr>
            <w:tcW w:w="2392" w:type="dxa"/>
            <w:vAlign w:val="center"/>
          </w:tcPr>
          <w:p w14:paraId="0DCBC110">
            <w:pPr>
              <w:pStyle w:val="3"/>
              <w:keepNext/>
              <w:spacing w:line="320" w:lineRule="exact"/>
              <w:ind w:left="600" w:right="62" w:hanging="600"/>
              <w:jc w:val="center"/>
              <w:rPr>
                <w:rFonts w:hint="eastAsia"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主要资历、经验及承担过的项目</w:t>
            </w:r>
          </w:p>
        </w:tc>
      </w:tr>
      <w:tr w14:paraId="6859A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6DC1B210">
            <w:pPr>
              <w:pStyle w:val="3"/>
              <w:keepNext/>
              <w:spacing w:line="440" w:lineRule="exact"/>
              <w:ind w:left="560" w:right="63" w:hanging="560"/>
              <w:rPr>
                <w:rFonts w:hint="eastAsia" w:cs="宋体"/>
                <w:color w:val="000000" w:themeColor="text1"/>
                <w:sz w:val="21"/>
                <w:szCs w:val="21"/>
                <w14:textFill>
                  <w14:solidFill>
                    <w14:schemeClr w14:val="tx1"/>
                  </w14:solidFill>
                </w14:textFill>
              </w:rPr>
            </w:pPr>
          </w:p>
        </w:tc>
        <w:tc>
          <w:tcPr>
            <w:tcW w:w="1264" w:type="dxa"/>
            <w:vAlign w:val="center"/>
          </w:tcPr>
          <w:p w14:paraId="3AD8FEB5">
            <w:pPr>
              <w:pStyle w:val="3"/>
              <w:keepNext/>
              <w:spacing w:line="440" w:lineRule="exact"/>
              <w:ind w:left="560" w:right="63" w:hanging="560"/>
              <w:rPr>
                <w:rFonts w:hint="eastAsia"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项目负责人</w:t>
            </w:r>
          </w:p>
        </w:tc>
        <w:tc>
          <w:tcPr>
            <w:tcW w:w="1621" w:type="dxa"/>
            <w:vAlign w:val="center"/>
          </w:tcPr>
          <w:p w14:paraId="31B03900">
            <w:pPr>
              <w:pStyle w:val="3"/>
              <w:keepNext/>
              <w:tabs>
                <w:tab w:val="left" w:pos="630"/>
              </w:tabs>
              <w:spacing w:line="440" w:lineRule="exact"/>
              <w:ind w:left="838" w:leftChars="104" w:right="63" w:hanging="588" w:hangingChars="280"/>
              <w:rPr>
                <w:rFonts w:hint="eastAsia" w:cs="宋体"/>
                <w:color w:val="000000" w:themeColor="text1"/>
                <w:sz w:val="21"/>
                <w:szCs w:val="21"/>
                <w14:textFill>
                  <w14:solidFill>
                    <w14:schemeClr w14:val="tx1"/>
                  </w14:solidFill>
                </w14:textFill>
              </w:rPr>
            </w:pPr>
          </w:p>
        </w:tc>
        <w:tc>
          <w:tcPr>
            <w:tcW w:w="960" w:type="dxa"/>
          </w:tcPr>
          <w:p w14:paraId="50878745">
            <w:pPr>
              <w:pStyle w:val="3"/>
              <w:keepNext/>
              <w:spacing w:line="440" w:lineRule="exact"/>
              <w:ind w:right="63"/>
              <w:rPr>
                <w:rFonts w:hint="eastAsia" w:cs="宋体"/>
                <w:color w:val="000000" w:themeColor="text1"/>
                <w:sz w:val="21"/>
                <w:szCs w:val="21"/>
                <w14:textFill>
                  <w14:solidFill>
                    <w14:schemeClr w14:val="tx1"/>
                  </w14:solidFill>
                </w14:textFill>
              </w:rPr>
            </w:pPr>
          </w:p>
        </w:tc>
        <w:tc>
          <w:tcPr>
            <w:tcW w:w="2392" w:type="dxa"/>
            <w:vAlign w:val="center"/>
          </w:tcPr>
          <w:p w14:paraId="7A5D4CD6">
            <w:pPr>
              <w:pStyle w:val="3"/>
              <w:keepNext/>
              <w:spacing w:line="440" w:lineRule="exact"/>
              <w:ind w:right="63"/>
              <w:rPr>
                <w:rFonts w:hint="eastAsia" w:cs="宋体"/>
                <w:color w:val="000000" w:themeColor="text1"/>
                <w:sz w:val="21"/>
                <w:szCs w:val="21"/>
                <w14:textFill>
                  <w14:solidFill>
                    <w14:schemeClr w14:val="tx1"/>
                  </w14:solidFill>
                </w14:textFill>
              </w:rPr>
            </w:pPr>
          </w:p>
        </w:tc>
      </w:tr>
      <w:tr w14:paraId="08E95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52845952">
            <w:pPr>
              <w:pStyle w:val="3"/>
              <w:keepNext/>
              <w:spacing w:line="440" w:lineRule="exact"/>
              <w:ind w:left="560" w:right="63" w:hanging="560"/>
              <w:rPr>
                <w:rFonts w:hint="eastAsia" w:cs="宋体"/>
                <w:color w:val="000000" w:themeColor="text1"/>
                <w:sz w:val="21"/>
                <w:szCs w:val="21"/>
                <w14:textFill>
                  <w14:solidFill>
                    <w14:schemeClr w14:val="tx1"/>
                  </w14:solidFill>
                </w14:textFill>
              </w:rPr>
            </w:pPr>
          </w:p>
        </w:tc>
        <w:tc>
          <w:tcPr>
            <w:tcW w:w="1264" w:type="dxa"/>
            <w:vAlign w:val="center"/>
          </w:tcPr>
          <w:p w14:paraId="3A6374F5">
            <w:pPr>
              <w:pStyle w:val="3"/>
              <w:keepNext/>
              <w:spacing w:line="440" w:lineRule="exact"/>
              <w:ind w:left="560" w:right="63" w:hanging="560"/>
              <w:rPr>
                <w:rFonts w:hint="eastAsia"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操作人员</w:t>
            </w:r>
          </w:p>
        </w:tc>
        <w:tc>
          <w:tcPr>
            <w:tcW w:w="1621" w:type="dxa"/>
            <w:vAlign w:val="center"/>
          </w:tcPr>
          <w:p w14:paraId="148AB080">
            <w:pPr>
              <w:pStyle w:val="3"/>
              <w:keepNext/>
              <w:spacing w:line="440" w:lineRule="exact"/>
              <w:ind w:right="63"/>
              <w:jc w:val="center"/>
              <w:rPr>
                <w:rFonts w:hint="eastAsia" w:cs="宋体"/>
                <w:color w:val="000000" w:themeColor="text1"/>
                <w:sz w:val="21"/>
                <w:szCs w:val="21"/>
                <w14:textFill>
                  <w14:solidFill>
                    <w14:schemeClr w14:val="tx1"/>
                  </w14:solidFill>
                </w14:textFill>
              </w:rPr>
            </w:pPr>
          </w:p>
        </w:tc>
        <w:tc>
          <w:tcPr>
            <w:tcW w:w="960" w:type="dxa"/>
          </w:tcPr>
          <w:p w14:paraId="27A1DBA5">
            <w:pPr>
              <w:pStyle w:val="3"/>
              <w:keepNext/>
              <w:spacing w:line="440" w:lineRule="exact"/>
              <w:ind w:right="63"/>
              <w:rPr>
                <w:rFonts w:hint="eastAsia" w:cs="宋体"/>
                <w:color w:val="000000" w:themeColor="text1"/>
                <w:sz w:val="21"/>
                <w:szCs w:val="21"/>
                <w14:textFill>
                  <w14:solidFill>
                    <w14:schemeClr w14:val="tx1"/>
                  </w14:solidFill>
                </w14:textFill>
              </w:rPr>
            </w:pPr>
          </w:p>
        </w:tc>
        <w:tc>
          <w:tcPr>
            <w:tcW w:w="2392" w:type="dxa"/>
            <w:vAlign w:val="center"/>
          </w:tcPr>
          <w:p w14:paraId="077404D0">
            <w:pPr>
              <w:pStyle w:val="3"/>
              <w:keepNext/>
              <w:spacing w:line="440" w:lineRule="exact"/>
              <w:ind w:right="63"/>
              <w:rPr>
                <w:rFonts w:hint="eastAsia" w:cs="宋体"/>
                <w:color w:val="000000" w:themeColor="text1"/>
                <w:sz w:val="21"/>
                <w:szCs w:val="21"/>
                <w14:textFill>
                  <w14:solidFill>
                    <w14:schemeClr w14:val="tx1"/>
                  </w14:solidFill>
                </w14:textFill>
              </w:rPr>
            </w:pPr>
          </w:p>
        </w:tc>
      </w:tr>
      <w:tr w14:paraId="70B4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7AE40FA3">
            <w:pPr>
              <w:pStyle w:val="3"/>
              <w:keepNext/>
              <w:spacing w:line="440" w:lineRule="exact"/>
              <w:ind w:left="560" w:right="63" w:hanging="560"/>
              <w:rPr>
                <w:rFonts w:hint="eastAsia" w:cs="宋体"/>
                <w:color w:val="000000" w:themeColor="text1"/>
                <w:sz w:val="21"/>
                <w:szCs w:val="21"/>
                <w14:textFill>
                  <w14:solidFill>
                    <w14:schemeClr w14:val="tx1"/>
                  </w14:solidFill>
                </w14:textFill>
              </w:rPr>
            </w:pPr>
          </w:p>
        </w:tc>
        <w:tc>
          <w:tcPr>
            <w:tcW w:w="1264" w:type="dxa"/>
            <w:vAlign w:val="center"/>
          </w:tcPr>
          <w:p w14:paraId="1A38D867">
            <w:pPr>
              <w:pStyle w:val="3"/>
              <w:keepNext/>
              <w:spacing w:line="440" w:lineRule="exact"/>
              <w:ind w:left="560" w:right="63" w:hanging="560"/>
              <w:rPr>
                <w:rFonts w:hint="eastAsia"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安全员</w:t>
            </w:r>
          </w:p>
        </w:tc>
        <w:tc>
          <w:tcPr>
            <w:tcW w:w="1621" w:type="dxa"/>
            <w:vAlign w:val="center"/>
          </w:tcPr>
          <w:p w14:paraId="11D2A862">
            <w:pPr>
              <w:pStyle w:val="3"/>
              <w:keepNext/>
              <w:spacing w:line="440" w:lineRule="exact"/>
              <w:ind w:left="733" w:leftChars="100" w:right="63" w:hanging="493" w:hangingChars="235"/>
              <w:rPr>
                <w:rFonts w:hint="eastAsia" w:cs="宋体"/>
                <w:color w:val="000000" w:themeColor="text1"/>
                <w:sz w:val="21"/>
                <w:szCs w:val="21"/>
                <w14:textFill>
                  <w14:solidFill>
                    <w14:schemeClr w14:val="tx1"/>
                  </w14:solidFill>
                </w14:textFill>
              </w:rPr>
            </w:pPr>
          </w:p>
        </w:tc>
        <w:tc>
          <w:tcPr>
            <w:tcW w:w="960" w:type="dxa"/>
          </w:tcPr>
          <w:p w14:paraId="59927D95">
            <w:pPr>
              <w:pStyle w:val="3"/>
              <w:keepNext/>
              <w:spacing w:line="440" w:lineRule="exact"/>
              <w:ind w:right="63"/>
              <w:rPr>
                <w:rFonts w:hint="eastAsia" w:cs="宋体"/>
                <w:color w:val="000000" w:themeColor="text1"/>
                <w:sz w:val="21"/>
                <w:szCs w:val="21"/>
                <w14:textFill>
                  <w14:solidFill>
                    <w14:schemeClr w14:val="tx1"/>
                  </w14:solidFill>
                </w14:textFill>
              </w:rPr>
            </w:pPr>
          </w:p>
        </w:tc>
        <w:tc>
          <w:tcPr>
            <w:tcW w:w="2392" w:type="dxa"/>
            <w:vAlign w:val="center"/>
          </w:tcPr>
          <w:p w14:paraId="63E8AFFE">
            <w:pPr>
              <w:pStyle w:val="3"/>
              <w:keepNext/>
              <w:spacing w:line="440" w:lineRule="exact"/>
              <w:ind w:right="63"/>
              <w:rPr>
                <w:rFonts w:hint="eastAsia" w:cs="宋体"/>
                <w:color w:val="000000" w:themeColor="text1"/>
                <w:sz w:val="21"/>
                <w:szCs w:val="21"/>
                <w14:textFill>
                  <w14:solidFill>
                    <w14:schemeClr w14:val="tx1"/>
                  </w14:solidFill>
                </w14:textFill>
              </w:rPr>
            </w:pPr>
          </w:p>
        </w:tc>
      </w:tr>
      <w:tr w14:paraId="7BAF8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59CE5513">
            <w:pPr>
              <w:pStyle w:val="3"/>
              <w:keepNext/>
              <w:spacing w:line="440" w:lineRule="exact"/>
              <w:ind w:left="560" w:right="63" w:hanging="560"/>
              <w:rPr>
                <w:rFonts w:hint="eastAsia" w:cs="宋体"/>
                <w:color w:val="000000" w:themeColor="text1"/>
                <w:sz w:val="21"/>
                <w:szCs w:val="21"/>
                <w14:textFill>
                  <w14:solidFill>
                    <w14:schemeClr w14:val="tx1"/>
                  </w14:solidFill>
                </w14:textFill>
              </w:rPr>
            </w:pPr>
          </w:p>
        </w:tc>
        <w:tc>
          <w:tcPr>
            <w:tcW w:w="1264" w:type="dxa"/>
            <w:vAlign w:val="center"/>
          </w:tcPr>
          <w:p w14:paraId="5BA2923E">
            <w:pPr>
              <w:pStyle w:val="3"/>
              <w:keepNext/>
              <w:spacing w:line="440" w:lineRule="exact"/>
              <w:ind w:left="560" w:right="63" w:hanging="560"/>
              <w:rPr>
                <w:rFonts w:hint="eastAsia"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资料员</w:t>
            </w:r>
          </w:p>
        </w:tc>
        <w:tc>
          <w:tcPr>
            <w:tcW w:w="1621" w:type="dxa"/>
            <w:vAlign w:val="center"/>
          </w:tcPr>
          <w:p w14:paraId="06D13449">
            <w:pPr>
              <w:pStyle w:val="3"/>
              <w:keepNext/>
              <w:spacing w:line="440" w:lineRule="exact"/>
              <w:ind w:left="733" w:leftChars="100" w:right="63" w:hanging="493" w:hangingChars="235"/>
              <w:rPr>
                <w:rFonts w:hint="eastAsia" w:cs="宋体"/>
                <w:color w:val="000000" w:themeColor="text1"/>
                <w:sz w:val="21"/>
                <w:szCs w:val="21"/>
                <w14:textFill>
                  <w14:solidFill>
                    <w14:schemeClr w14:val="tx1"/>
                  </w14:solidFill>
                </w14:textFill>
              </w:rPr>
            </w:pPr>
          </w:p>
        </w:tc>
        <w:tc>
          <w:tcPr>
            <w:tcW w:w="960" w:type="dxa"/>
          </w:tcPr>
          <w:p w14:paraId="22CF8D3E">
            <w:pPr>
              <w:pStyle w:val="3"/>
              <w:keepNext/>
              <w:spacing w:line="440" w:lineRule="exact"/>
              <w:ind w:right="63"/>
              <w:rPr>
                <w:rFonts w:hint="eastAsia" w:cs="宋体"/>
                <w:color w:val="000000" w:themeColor="text1"/>
                <w:sz w:val="21"/>
                <w:szCs w:val="21"/>
                <w14:textFill>
                  <w14:solidFill>
                    <w14:schemeClr w14:val="tx1"/>
                  </w14:solidFill>
                </w14:textFill>
              </w:rPr>
            </w:pPr>
          </w:p>
        </w:tc>
        <w:tc>
          <w:tcPr>
            <w:tcW w:w="2392" w:type="dxa"/>
            <w:vAlign w:val="center"/>
          </w:tcPr>
          <w:p w14:paraId="0F6A4A42">
            <w:pPr>
              <w:pStyle w:val="3"/>
              <w:keepNext/>
              <w:spacing w:line="440" w:lineRule="exact"/>
              <w:ind w:right="63"/>
              <w:rPr>
                <w:rFonts w:hint="eastAsia" w:cs="宋体"/>
                <w:color w:val="000000" w:themeColor="text1"/>
                <w:sz w:val="21"/>
                <w:szCs w:val="21"/>
                <w14:textFill>
                  <w14:solidFill>
                    <w14:schemeClr w14:val="tx1"/>
                  </w14:solidFill>
                </w14:textFill>
              </w:rPr>
            </w:pPr>
          </w:p>
        </w:tc>
      </w:tr>
    </w:tbl>
    <w:p w14:paraId="188509C7">
      <w:pPr>
        <w:snapToGrid w:val="0"/>
        <w:spacing w:line="580" w:lineRule="exact"/>
        <w:ind w:firstLine="316" w:firstLineChars="150"/>
        <w:jc w:val="center"/>
        <w:rPr>
          <w:rFonts w:hint="eastAsia" w:ascii="宋体" w:hAnsi="宋体" w:eastAsia="宋体" w:cs="宋体"/>
          <w:b/>
          <w:color w:val="000000" w:themeColor="text1"/>
          <w:sz w:val="21"/>
          <w:szCs w:val="21"/>
          <w14:textFill>
            <w14:solidFill>
              <w14:schemeClr w14:val="tx1"/>
            </w14:solidFill>
          </w14:textFill>
        </w:rPr>
      </w:pPr>
    </w:p>
    <w:p w14:paraId="42D4D2DC">
      <w:pPr>
        <w:snapToGrid w:val="0"/>
        <w:spacing w:line="580" w:lineRule="exact"/>
        <w:ind w:firstLine="316" w:firstLineChars="150"/>
        <w:jc w:val="center"/>
        <w:rPr>
          <w:rFonts w:hint="eastAsia" w:ascii="宋体" w:hAnsi="宋体" w:eastAsia="宋体" w:cs="宋体"/>
          <w:b/>
          <w:color w:val="000000" w:themeColor="text1"/>
          <w:sz w:val="21"/>
          <w:szCs w:val="21"/>
          <w14:textFill>
            <w14:solidFill>
              <w14:schemeClr w14:val="tx1"/>
            </w14:solidFill>
          </w14:textFill>
        </w:rPr>
      </w:pPr>
    </w:p>
    <w:p w14:paraId="79AA2B45">
      <w:pPr>
        <w:snapToGrid w:val="0"/>
        <w:spacing w:line="580" w:lineRule="exact"/>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项目负责人简历表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2805"/>
        <w:gridCol w:w="1336"/>
        <w:gridCol w:w="2446"/>
      </w:tblGrid>
      <w:tr w14:paraId="5BC146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04ADEBF">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tc>
        <w:tc>
          <w:tcPr>
            <w:tcW w:w="2805" w:type="dxa"/>
            <w:tcBorders>
              <w:top w:val="single" w:color="auto" w:sz="6" w:space="0"/>
              <w:left w:val="single" w:color="auto" w:sz="6" w:space="0"/>
              <w:bottom w:val="single" w:color="auto" w:sz="6" w:space="0"/>
              <w:right w:val="single" w:color="auto" w:sz="6" w:space="0"/>
            </w:tcBorders>
            <w:vAlign w:val="center"/>
          </w:tcPr>
          <w:p w14:paraId="234FEF6C">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4CA0D840">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5194FD2B">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676CA5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0B565A2">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年龄</w:t>
            </w:r>
          </w:p>
        </w:tc>
        <w:tc>
          <w:tcPr>
            <w:tcW w:w="2805" w:type="dxa"/>
            <w:tcBorders>
              <w:top w:val="single" w:color="auto" w:sz="6" w:space="0"/>
              <w:left w:val="single" w:color="auto" w:sz="6" w:space="0"/>
              <w:bottom w:val="single" w:color="auto" w:sz="6" w:space="0"/>
              <w:right w:val="single" w:color="auto" w:sz="6" w:space="0"/>
            </w:tcBorders>
            <w:vAlign w:val="center"/>
          </w:tcPr>
          <w:p w14:paraId="6A08B763">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6B70525D">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4F14AE39">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0D7A6F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E042C6D">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籍贯</w:t>
            </w:r>
          </w:p>
        </w:tc>
        <w:tc>
          <w:tcPr>
            <w:tcW w:w="2805" w:type="dxa"/>
            <w:tcBorders>
              <w:top w:val="single" w:color="auto" w:sz="6" w:space="0"/>
              <w:left w:val="single" w:color="auto" w:sz="6" w:space="0"/>
              <w:bottom w:val="single" w:color="auto" w:sz="6" w:space="0"/>
              <w:right w:val="single" w:color="auto" w:sz="6" w:space="0"/>
            </w:tcBorders>
            <w:vAlign w:val="center"/>
          </w:tcPr>
          <w:p w14:paraId="1129297E">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73297CB8">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19A296A8">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6E7C82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D17D56A">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职称</w:t>
            </w:r>
          </w:p>
        </w:tc>
        <w:tc>
          <w:tcPr>
            <w:tcW w:w="2805" w:type="dxa"/>
            <w:tcBorders>
              <w:top w:val="single" w:color="auto" w:sz="6" w:space="0"/>
              <w:left w:val="single" w:color="auto" w:sz="6" w:space="0"/>
              <w:bottom w:val="single" w:color="auto" w:sz="6" w:space="0"/>
              <w:right w:val="single" w:color="auto" w:sz="6" w:space="0"/>
            </w:tcBorders>
            <w:vAlign w:val="center"/>
          </w:tcPr>
          <w:p w14:paraId="06630A05">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2084125F">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资格证</w:t>
            </w:r>
          </w:p>
        </w:tc>
        <w:tc>
          <w:tcPr>
            <w:tcW w:w="2444" w:type="dxa"/>
            <w:tcBorders>
              <w:top w:val="single" w:color="auto" w:sz="6" w:space="0"/>
              <w:left w:val="single" w:color="auto" w:sz="6" w:space="0"/>
              <w:bottom w:val="single" w:color="auto" w:sz="6" w:space="0"/>
              <w:right w:val="single" w:color="auto" w:sz="6" w:space="0"/>
            </w:tcBorders>
            <w:vAlign w:val="center"/>
          </w:tcPr>
          <w:p w14:paraId="05C194F7">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03C109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9950628">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手机号码</w:t>
            </w:r>
          </w:p>
        </w:tc>
        <w:tc>
          <w:tcPr>
            <w:tcW w:w="2805" w:type="dxa"/>
            <w:tcBorders>
              <w:top w:val="single" w:color="auto" w:sz="6" w:space="0"/>
              <w:left w:val="single" w:color="auto" w:sz="6" w:space="0"/>
              <w:bottom w:val="single" w:color="auto" w:sz="6" w:space="0"/>
              <w:right w:val="single" w:color="auto" w:sz="6" w:space="0"/>
            </w:tcBorders>
            <w:vAlign w:val="center"/>
          </w:tcPr>
          <w:p w14:paraId="251A0E9D">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73AF6DF4">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邮箱</w:t>
            </w:r>
          </w:p>
        </w:tc>
        <w:tc>
          <w:tcPr>
            <w:tcW w:w="2444" w:type="dxa"/>
            <w:tcBorders>
              <w:top w:val="single" w:color="auto" w:sz="6" w:space="0"/>
              <w:left w:val="single" w:color="auto" w:sz="6" w:space="0"/>
              <w:bottom w:val="single" w:color="auto" w:sz="6" w:space="0"/>
              <w:right w:val="single" w:color="auto" w:sz="6" w:space="0"/>
            </w:tcBorders>
            <w:vAlign w:val="center"/>
          </w:tcPr>
          <w:p w14:paraId="2C1A3070">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1AE729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FA325B8">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经历概要</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50EAC88D">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20**-20**年，在****公司工作，担任职务，项目业绩情况</w:t>
            </w:r>
          </w:p>
          <w:p w14:paraId="5A1CB8B7">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1CE400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120EED7">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业绩经验</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57777583">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项目名称、分项工程，项目规模，主要职责</w:t>
            </w:r>
          </w:p>
        </w:tc>
      </w:tr>
    </w:tbl>
    <w:p w14:paraId="71F032C7">
      <w:pPr>
        <w:snapToGrid w:val="0"/>
        <w:spacing w:line="580" w:lineRule="exact"/>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附建造师资格证书及近三个月社保证明</w:t>
      </w:r>
    </w:p>
    <w:p w14:paraId="26D8E173">
      <w:pPr>
        <w:spacing w:line="580" w:lineRule="exac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附录5-2-4售后维修质量保障方案</w:t>
      </w:r>
    </w:p>
    <w:p w14:paraId="694DB4A5">
      <w:pPr>
        <w:spacing w:line="580" w:lineRule="exact"/>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附录5-2-5 近三年财务审计报表</w:t>
      </w:r>
    </w:p>
    <w:p w14:paraId="6517FCCC">
      <w:pPr>
        <w:ind w:left="-2" w:leftChars="-1"/>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近三年财务状况及其审计报告</w:t>
      </w:r>
    </w:p>
    <w:p w14:paraId="644A1CA9">
      <w:pPr>
        <w:ind w:left="-2" w:leftChars="-1"/>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投标人应</w:t>
      </w:r>
      <w:r>
        <w:rPr>
          <w:rFonts w:hint="eastAsia" w:ascii="宋体" w:hAnsi="宋体" w:eastAsia="宋体" w:cs="宋体"/>
          <w:bCs/>
          <w:color w:val="000000" w:themeColor="text1"/>
          <w:sz w:val="21"/>
          <w:szCs w:val="21"/>
          <w14:textFill>
            <w14:solidFill>
              <w14:schemeClr w14:val="tx1"/>
            </w14:solidFill>
          </w14:textFill>
        </w:rPr>
        <w:t>如实填写财务状况表，并提供文件要求的财务状况资料)</w:t>
      </w:r>
    </w:p>
    <w:p w14:paraId="0A3A7795">
      <w:pPr>
        <w:ind w:left="-2" w:leftChars="-1"/>
        <w:jc w:val="center"/>
        <w:rPr>
          <w:rFonts w:hint="eastAsia" w:ascii="宋体" w:hAnsi="宋体" w:eastAsia="宋体" w:cs="宋体"/>
          <w:bCs/>
          <w:color w:val="000000" w:themeColor="text1"/>
          <w:sz w:val="21"/>
          <w:szCs w:val="21"/>
          <w14:textFill>
            <w14:solidFill>
              <w14:schemeClr w14:val="tx1"/>
            </w14:solidFill>
          </w14:textFill>
        </w:rPr>
      </w:pPr>
    </w:p>
    <w:p w14:paraId="000A5019">
      <w:pPr>
        <w:spacing w:after="120" w:afterLines="50"/>
        <w:ind w:left="-2" w:leftChars="-1"/>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财务状况表</w:t>
      </w:r>
    </w:p>
    <w:tbl>
      <w:tblPr>
        <w:tblStyle w:val="48"/>
        <w:tblW w:w="928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7042"/>
      </w:tblGrid>
      <w:tr w14:paraId="3336BBE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2"/>
            <w:vAlign w:val="center"/>
          </w:tcPr>
          <w:p w14:paraId="26AF6EB4">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企业名称：</w:t>
            </w:r>
          </w:p>
        </w:tc>
      </w:tr>
      <w:tr w14:paraId="5E15C5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55D312C3">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开户银行</w:t>
            </w:r>
          </w:p>
        </w:tc>
        <w:tc>
          <w:tcPr>
            <w:tcW w:w="7042" w:type="dxa"/>
          </w:tcPr>
          <w:p w14:paraId="1D83A320">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名称：</w:t>
            </w:r>
          </w:p>
        </w:tc>
      </w:tr>
      <w:tr w14:paraId="2399947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04509A18">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c>
          <w:tcPr>
            <w:tcW w:w="7042" w:type="dxa"/>
          </w:tcPr>
          <w:p w14:paraId="23342C70">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地址：</w:t>
            </w:r>
          </w:p>
        </w:tc>
      </w:tr>
      <w:tr w14:paraId="4F59D11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55E2440B">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c>
          <w:tcPr>
            <w:tcW w:w="7042" w:type="dxa"/>
          </w:tcPr>
          <w:p w14:paraId="64594285">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电话/传真：</w:t>
            </w:r>
          </w:p>
        </w:tc>
      </w:tr>
      <w:tr w14:paraId="79E79EB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43B65078">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c>
          <w:tcPr>
            <w:tcW w:w="7042" w:type="dxa"/>
          </w:tcPr>
          <w:p w14:paraId="4439D686">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联系人/职务：</w:t>
            </w:r>
          </w:p>
        </w:tc>
      </w:tr>
      <w:tr w14:paraId="45469C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45C153C9">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w:t>
            </w:r>
          </w:p>
        </w:tc>
        <w:tc>
          <w:tcPr>
            <w:tcW w:w="7042" w:type="dxa"/>
          </w:tcPr>
          <w:p w14:paraId="24B81692">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
                <w:color w:val="FF0000"/>
                <w:sz w:val="21"/>
                <w:szCs w:val="21"/>
              </w:rPr>
              <w:t>近三年</w:t>
            </w:r>
          </w:p>
        </w:tc>
      </w:tr>
      <w:tr w14:paraId="030F838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40F3B22B">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c>
          <w:tcPr>
            <w:tcW w:w="7042" w:type="dxa"/>
          </w:tcPr>
          <w:p w14:paraId="6006E1C1">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r>
      <w:tr w14:paraId="7D4802F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05369B48">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营业额</w:t>
            </w:r>
          </w:p>
        </w:tc>
        <w:tc>
          <w:tcPr>
            <w:tcW w:w="7042" w:type="dxa"/>
          </w:tcPr>
          <w:p w14:paraId="1AEFD195">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160ED49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EA73B2D">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总资产</w:t>
            </w:r>
          </w:p>
        </w:tc>
        <w:tc>
          <w:tcPr>
            <w:tcW w:w="7042" w:type="dxa"/>
          </w:tcPr>
          <w:p w14:paraId="00960372">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2C03A88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1FDF307">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固定资产</w:t>
            </w:r>
          </w:p>
        </w:tc>
        <w:tc>
          <w:tcPr>
            <w:tcW w:w="7042" w:type="dxa"/>
          </w:tcPr>
          <w:p w14:paraId="166140E7">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0931C93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365D967">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流动资产</w:t>
            </w:r>
          </w:p>
        </w:tc>
        <w:tc>
          <w:tcPr>
            <w:tcW w:w="7042" w:type="dxa"/>
          </w:tcPr>
          <w:p w14:paraId="15521664">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73D33AD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6019A2C">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净资产</w:t>
            </w:r>
          </w:p>
        </w:tc>
        <w:tc>
          <w:tcPr>
            <w:tcW w:w="7042" w:type="dxa"/>
          </w:tcPr>
          <w:p w14:paraId="16847D9A">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5A97F9C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0984FEEF">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总负债</w:t>
            </w:r>
          </w:p>
        </w:tc>
        <w:tc>
          <w:tcPr>
            <w:tcW w:w="7042" w:type="dxa"/>
          </w:tcPr>
          <w:p w14:paraId="4E34CC8C">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25CBAFA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355A50E">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短期负债</w:t>
            </w:r>
          </w:p>
        </w:tc>
        <w:tc>
          <w:tcPr>
            <w:tcW w:w="7042" w:type="dxa"/>
          </w:tcPr>
          <w:p w14:paraId="57A9BD30">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5608CC6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21DA17C">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长期负债</w:t>
            </w:r>
          </w:p>
        </w:tc>
        <w:tc>
          <w:tcPr>
            <w:tcW w:w="7042" w:type="dxa"/>
          </w:tcPr>
          <w:p w14:paraId="15C8DE67">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4D0DC99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A96E4C9">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资产负债率</w:t>
            </w:r>
          </w:p>
        </w:tc>
        <w:tc>
          <w:tcPr>
            <w:tcW w:w="7042" w:type="dxa"/>
          </w:tcPr>
          <w:p w14:paraId="79D3CA88">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17F767C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4FBFF13">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流动比率</w:t>
            </w:r>
          </w:p>
        </w:tc>
        <w:tc>
          <w:tcPr>
            <w:tcW w:w="7042" w:type="dxa"/>
          </w:tcPr>
          <w:p w14:paraId="7275457B">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7E4E9B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095462DC">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税前利润</w:t>
            </w:r>
          </w:p>
        </w:tc>
        <w:tc>
          <w:tcPr>
            <w:tcW w:w="7042" w:type="dxa"/>
          </w:tcPr>
          <w:p w14:paraId="05613C2F">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682846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8B57769">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税后利润</w:t>
            </w:r>
          </w:p>
        </w:tc>
        <w:tc>
          <w:tcPr>
            <w:tcW w:w="7042" w:type="dxa"/>
          </w:tcPr>
          <w:p w14:paraId="54B2BDCD">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bl>
    <w:p w14:paraId="6C1ECAB9">
      <w:pPr>
        <w:spacing w:line="360" w:lineRule="auto"/>
        <w:rPr>
          <w:rFonts w:hint="eastAsia" w:ascii="宋体" w:hAnsi="宋体" w:eastAsia="宋体" w:cs="宋体"/>
          <w:color w:val="000000" w:themeColor="text1"/>
          <w:sz w:val="21"/>
          <w:szCs w:val="21"/>
          <w14:textFill>
            <w14:solidFill>
              <w14:schemeClr w14:val="tx1"/>
            </w14:solidFill>
          </w14:textFill>
        </w:rPr>
      </w:pPr>
    </w:p>
    <w:p w14:paraId="7453FC9C">
      <w:pPr>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授权代表签字：供应商：（盖章）</w:t>
      </w:r>
    </w:p>
    <w:p w14:paraId="550EF1F8">
      <w:pPr>
        <w:adjustRightInd w:val="0"/>
        <w:snapToGrid w:val="0"/>
        <w:spacing w:line="44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职务：日期：</w:t>
      </w:r>
      <w:r>
        <w:rPr>
          <w:rFonts w:hint="eastAsia" w:ascii="宋体" w:hAnsi="宋体" w:eastAsia="宋体" w:cs="宋体"/>
          <w:color w:val="000000" w:themeColor="text1"/>
          <w:sz w:val="21"/>
          <w:szCs w:val="21"/>
          <w14:textFill>
            <w14:solidFill>
              <w14:schemeClr w14:val="tx1"/>
            </w14:solidFill>
          </w14:textFill>
        </w:rPr>
        <w:tab/>
      </w:r>
    </w:p>
    <w:p w14:paraId="39659654">
      <w:pPr>
        <w:tabs>
          <w:tab w:val="left" w:pos="1599"/>
        </w:tabs>
        <w:rPr>
          <w:rFonts w:hint="eastAsia" w:ascii="宋体" w:hAnsi="宋体" w:eastAsia="宋体" w:cs="宋体"/>
          <w:b/>
          <w:color w:val="000000" w:themeColor="text1"/>
          <w:sz w:val="21"/>
          <w:szCs w:val="21"/>
          <w14:textFill>
            <w14:solidFill>
              <w14:schemeClr w14:val="tx1"/>
            </w14:solidFill>
          </w14:textFill>
        </w:rPr>
        <w:sectPr>
          <w:headerReference r:id="rId15" w:type="default"/>
          <w:footerReference r:id="rId16" w:type="default"/>
          <w:pgSz w:w="11907" w:h="16840"/>
          <w:pgMar w:top="1418" w:right="1418" w:bottom="1418" w:left="1418" w:header="851" w:footer="680" w:gutter="0"/>
          <w:cols w:space="425" w:num="1"/>
          <w:titlePg/>
          <w:docGrid w:linePitch="536" w:charSpace="7143"/>
        </w:sectPr>
      </w:pPr>
      <w:r>
        <w:rPr>
          <w:rFonts w:hint="eastAsia" w:ascii="宋体" w:hAnsi="宋体" w:eastAsia="宋体" w:cs="宋体"/>
          <w:b/>
          <w:color w:val="000000" w:themeColor="text1"/>
          <w:sz w:val="21"/>
          <w:szCs w:val="21"/>
          <w14:textFill>
            <w14:solidFill>
              <w14:schemeClr w14:val="tx1"/>
            </w14:solidFill>
          </w14:textFill>
        </w:rPr>
        <w:t>附录5-2-6企业信誉资质证</w:t>
      </w:r>
    </w:p>
    <w:p w14:paraId="0944E930">
      <w:pP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 5-2-6 业绩表：</w:t>
      </w:r>
    </w:p>
    <w:p w14:paraId="33B293A8">
      <w:pPr>
        <w:rPr>
          <w:rFonts w:hint="eastAsia" w:ascii="宋体" w:hAnsi="宋体" w:eastAsia="宋体" w:cs="宋体"/>
          <w:bCs/>
          <w:color w:val="000000" w:themeColor="text1"/>
          <w:szCs w:val="24"/>
          <w14:textFill>
            <w14:solidFill>
              <w14:schemeClr w14:val="tx1"/>
            </w14:solidFill>
          </w14:textFill>
        </w:rPr>
      </w:pPr>
    </w:p>
    <w:p w14:paraId="64D756DE">
      <w:pPr>
        <w:widowControl/>
        <w:rPr>
          <w:rFonts w:hint="eastAsia" w:ascii="宋体" w:hAnsi="宋体" w:eastAsia="宋体" w:cs="宋体"/>
          <w:color w:val="000000" w:themeColor="text1"/>
          <w:kern w:val="0"/>
          <w:szCs w:val="24"/>
          <w14:textFill>
            <w14:solidFill>
              <w14:schemeClr w14:val="tx1"/>
            </w14:solidFill>
          </w14:textFill>
        </w:rPr>
      </w:pPr>
    </w:p>
    <w:p w14:paraId="342C5D63">
      <w:pPr>
        <w:pStyle w:val="94"/>
        <w:tabs>
          <w:tab w:val="clear" w:pos="2340"/>
        </w:tabs>
        <w:wordWrap w:val="0"/>
        <w:spacing w:line="240" w:lineRule="auto"/>
        <w:ind w:right="120"/>
        <w:jc w:val="right"/>
        <w:rPr>
          <w:rFonts w:ascii="宋体" w:hAnsi="宋体" w:eastAsia="宋体" w:cs="宋体"/>
          <w:b w:val="0"/>
          <w:color w:val="000000" w:themeColor="text1"/>
          <w:sz w:val="24"/>
          <w:szCs w:val="24"/>
          <w14:textFill>
            <w14:solidFill>
              <w14:schemeClr w14:val="tx1"/>
            </w14:solidFill>
          </w14:textFill>
        </w:rPr>
      </w:pPr>
    </w:p>
    <w:p w14:paraId="25077788">
      <w:pPr>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业绩表（近五年或总业绩表）</w:t>
      </w:r>
    </w:p>
    <w:p w14:paraId="2A816AB5">
      <w:pPr>
        <w:jc w:val="center"/>
        <w:rPr>
          <w:rFonts w:hint="eastAsia" w:ascii="宋体" w:hAnsi="宋体" w:eastAsia="宋体" w:cs="宋体"/>
          <w:b/>
          <w:color w:val="000000" w:themeColor="text1"/>
          <w:szCs w:val="24"/>
          <w14:textFill>
            <w14:solidFill>
              <w14:schemeClr w14:val="tx1"/>
            </w14:solidFill>
          </w14:textFill>
        </w:rPr>
      </w:pPr>
    </w:p>
    <w:p w14:paraId="41E7747A">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w:t>
      </w:r>
    </w:p>
    <w:tbl>
      <w:tblPr>
        <w:tblStyle w:val="48"/>
        <w:tblpPr w:leftFromText="180" w:rightFromText="180" w:vertAnchor="text" w:horzAnchor="margin" w:tblpX="152"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25"/>
        <w:gridCol w:w="2250"/>
        <w:gridCol w:w="2986"/>
        <w:gridCol w:w="1718"/>
        <w:gridCol w:w="2264"/>
      </w:tblGrid>
      <w:tr w14:paraId="06467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5" w:type="dxa"/>
            <w:vAlign w:val="center"/>
          </w:tcPr>
          <w:p w14:paraId="676C342D">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2250" w:type="dxa"/>
            <w:vAlign w:val="center"/>
          </w:tcPr>
          <w:p w14:paraId="3D1A839B">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3D37A24E">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86" w:type="dxa"/>
            <w:vAlign w:val="center"/>
          </w:tcPr>
          <w:p w14:paraId="1A5A71BD">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1ACA2C9D">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18" w:type="dxa"/>
            <w:vAlign w:val="center"/>
          </w:tcPr>
          <w:p w14:paraId="591E4B6A">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2264" w:type="dxa"/>
            <w:vAlign w:val="center"/>
          </w:tcPr>
          <w:p w14:paraId="7A400D2D">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备注</w:t>
            </w:r>
          </w:p>
        </w:tc>
      </w:tr>
      <w:tr w14:paraId="55D30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5" w:type="dxa"/>
          </w:tcPr>
          <w:p w14:paraId="587F0CBB">
            <w:pPr>
              <w:rPr>
                <w:rFonts w:hint="eastAsia" w:ascii="宋体" w:hAnsi="宋体" w:eastAsia="宋体" w:cs="宋体"/>
                <w:color w:val="000000" w:themeColor="text1"/>
                <w:szCs w:val="24"/>
                <w14:textFill>
                  <w14:solidFill>
                    <w14:schemeClr w14:val="tx1"/>
                  </w14:solidFill>
                </w14:textFill>
              </w:rPr>
            </w:pPr>
          </w:p>
        </w:tc>
        <w:tc>
          <w:tcPr>
            <w:tcW w:w="2250" w:type="dxa"/>
          </w:tcPr>
          <w:p w14:paraId="1D183C99">
            <w:pPr>
              <w:rPr>
                <w:rFonts w:hint="eastAsia" w:ascii="宋体" w:hAnsi="宋体" w:eastAsia="宋体" w:cs="宋体"/>
                <w:color w:val="000000" w:themeColor="text1"/>
                <w:szCs w:val="24"/>
                <w14:textFill>
                  <w14:solidFill>
                    <w14:schemeClr w14:val="tx1"/>
                  </w14:solidFill>
                </w14:textFill>
              </w:rPr>
            </w:pPr>
          </w:p>
        </w:tc>
        <w:tc>
          <w:tcPr>
            <w:tcW w:w="2986" w:type="dxa"/>
          </w:tcPr>
          <w:p w14:paraId="45D98B2E">
            <w:pPr>
              <w:rPr>
                <w:rFonts w:hint="eastAsia" w:ascii="宋体" w:hAnsi="宋体" w:eastAsia="宋体" w:cs="宋体"/>
                <w:color w:val="000000" w:themeColor="text1"/>
                <w:szCs w:val="24"/>
                <w14:textFill>
                  <w14:solidFill>
                    <w14:schemeClr w14:val="tx1"/>
                  </w14:solidFill>
                </w14:textFill>
              </w:rPr>
            </w:pPr>
          </w:p>
        </w:tc>
        <w:tc>
          <w:tcPr>
            <w:tcW w:w="1718" w:type="dxa"/>
          </w:tcPr>
          <w:p w14:paraId="45BD3622">
            <w:pPr>
              <w:rPr>
                <w:rFonts w:hint="eastAsia" w:ascii="宋体" w:hAnsi="宋体" w:eastAsia="宋体" w:cs="宋体"/>
                <w:color w:val="000000" w:themeColor="text1"/>
                <w:szCs w:val="24"/>
                <w14:textFill>
                  <w14:solidFill>
                    <w14:schemeClr w14:val="tx1"/>
                  </w14:solidFill>
                </w14:textFill>
              </w:rPr>
            </w:pPr>
          </w:p>
        </w:tc>
        <w:tc>
          <w:tcPr>
            <w:tcW w:w="2264" w:type="dxa"/>
          </w:tcPr>
          <w:p w14:paraId="06D288B4">
            <w:pPr>
              <w:rPr>
                <w:rFonts w:hint="eastAsia" w:ascii="宋体" w:hAnsi="宋体" w:eastAsia="宋体" w:cs="宋体"/>
                <w:color w:val="000000" w:themeColor="text1"/>
                <w:szCs w:val="24"/>
                <w14:textFill>
                  <w14:solidFill>
                    <w14:schemeClr w14:val="tx1"/>
                  </w14:solidFill>
                </w14:textFill>
              </w:rPr>
            </w:pPr>
          </w:p>
        </w:tc>
      </w:tr>
      <w:tr w14:paraId="03159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5" w:type="dxa"/>
          </w:tcPr>
          <w:p w14:paraId="1BA99348">
            <w:pPr>
              <w:rPr>
                <w:rFonts w:hint="eastAsia" w:ascii="宋体" w:hAnsi="宋体" w:eastAsia="宋体" w:cs="宋体"/>
                <w:color w:val="000000" w:themeColor="text1"/>
                <w:szCs w:val="24"/>
                <w14:textFill>
                  <w14:solidFill>
                    <w14:schemeClr w14:val="tx1"/>
                  </w14:solidFill>
                </w14:textFill>
              </w:rPr>
            </w:pPr>
          </w:p>
        </w:tc>
        <w:tc>
          <w:tcPr>
            <w:tcW w:w="2250" w:type="dxa"/>
          </w:tcPr>
          <w:p w14:paraId="53840048">
            <w:pPr>
              <w:rPr>
                <w:rFonts w:hint="eastAsia" w:ascii="宋体" w:hAnsi="宋体" w:eastAsia="宋体" w:cs="宋体"/>
                <w:color w:val="000000" w:themeColor="text1"/>
                <w:szCs w:val="24"/>
                <w14:textFill>
                  <w14:solidFill>
                    <w14:schemeClr w14:val="tx1"/>
                  </w14:solidFill>
                </w14:textFill>
              </w:rPr>
            </w:pPr>
          </w:p>
        </w:tc>
        <w:tc>
          <w:tcPr>
            <w:tcW w:w="2986" w:type="dxa"/>
          </w:tcPr>
          <w:p w14:paraId="0A0B9CCE">
            <w:pPr>
              <w:rPr>
                <w:rFonts w:hint="eastAsia" w:ascii="宋体" w:hAnsi="宋体" w:eastAsia="宋体" w:cs="宋体"/>
                <w:color w:val="000000" w:themeColor="text1"/>
                <w:szCs w:val="24"/>
                <w14:textFill>
                  <w14:solidFill>
                    <w14:schemeClr w14:val="tx1"/>
                  </w14:solidFill>
                </w14:textFill>
              </w:rPr>
            </w:pPr>
          </w:p>
        </w:tc>
        <w:tc>
          <w:tcPr>
            <w:tcW w:w="1718" w:type="dxa"/>
          </w:tcPr>
          <w:p w14:paraId="7A8B4BB8">
            <w:pPr>
              <w:rPr>
                <w:rFonts w:hint="eastAsia" w:ascii="宋体" w:hAnsi="宋体" w:eastAsia="宋体" w:cs="宋体"/>
                <w:color w:val="000000" w:themeColor="text1"/>
                <w:szCs w:val="24"/>
                <w14:textFill>
                  <w14:solidFill>
                    <w14:schemeClr w14:val="tx1"/>
                  </w14:solidFill>
                </w14:textFill>
              </w:rPr>
            </w:pPr>
          </w:p>
        </w:tc>
        <w:tc>
          <w:tcPr>
            <w:tcW w:w="2264" w:type="dxa"/>
          </w:tcPr>
          <w:p w14:paraId="4CE4DD96">
            <w:pPr>
              <w:rPr>
                <w:rFonts w:hint="eastAsia" w:ascii="宋体" w:hAnsi="宋体" w:eastAsia="宋体" w:cs="宋体"/>
                <w:color w:val="000000" w:themeColor="text1"/>
                <w:szCs w:val="24"/>
                <w14:textFill>
                  <w14:solidFill>
                    <w14:schemeClr w14:val="tx1"/>
                  </w14:solidFill>
                </w14:textFill>
              </w:rPr>
            </w:pPr>
          </w:p>
        </w:tc>
      </w:tr>
      <w:tr w14:paraId="4E8E1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5" w:type="dxa"/>
          </w:tcPr>
          <w:p w14:paraId="6DE2E753">
            <w:pPr>
              <w:rPr>
                <w:rFonts w:hint="eastAsia" w:ascii="宋体" w:hAnsi="宋体" w:eastAsia="宋体" w:cs="宋体"/>
                <w:color w:val="000000" w:themeColor="text1"/>
                <w:szCs w:val="24"/>
                <w14:textFill>
                  <w14:solidFill>
                    <w14:schemeClr w14:val="tx1"/>
                  </w14:solidFill>
                </w14:textFill>
              </w:rPr>
            </w:pPr>
          </w:p>
        </w:tc>
        <w:tc>
          <w:tcPr>
            <w:tcW w:w="2250" w:type="dxa"/>
          </w:tcPr>
          <w:p w14:paraId="34D15EF4">
            <w:pPr>
              <w:rPr>
                <w:rFonts w:hint="eastAsia" w:ascii="宋体" w:hAnsi="宋体" w:eastAsia="宋体" w:cs="宋体"/>
                <w:color w:val="000000" w:themeColor="text1"/>
                <w:szCs w:val="24"/>
                <w14:textFill>
                  <w14:solidFill>
                    <w14:schemeClr w14:val="tx1"/>
                  </w14:solidFill>
                </w14:textFill>
              </w:rPr>
            </w:pPr>
          </w:p>
        </w:tc>
        <w:tc>
          <w:tcPr>
            <w:tcW w:w="2986" w:type="dxa"/>
          </w:tcPr>
          <w:p w14:paraId="5F349486">
            <w:pPr>
              <w:rPr>
                <w:rFonts w:hint="eastAsia" w:ascii="宋体" w:hAnsi="宋体" w:eastAsia="宋体" w:cs="宋体"/>
                <w:color w:val="000000" w:themeColor="text1"/>
                <w:szCs w:val="24"/>
                <w14:textFill>
                  <w14:solidFill>
                    <w14:schemeClr w14:val="tx1"/>
                  </w14:solidFill>
                </w14:textFill>
              </w:rPr>
            </w:pPr>
          </w:p>
        </w:tc>
        <w:tc>
          <w:tcPr>
            <w:tcW w:w="1718" w:type="dxa"/>
          </w:tcPr>
          <w:p w14:paraId="7F32C95E">
            <w:pPr>
              <w:rPr>
                <w:rFonts w:hint="eastAsia" w:ascii="宋体" w:hAnsi="宋体" w:eastAsia="宋体" w:cs="宋体"/>
                <w:color w:val="000000" w:themeColor="text1"/>
                <w:szCs w:val="24"/>
                <w14:textFill>
                  <w14:solidFill>
                    <w14:schemeClr w14:val="tx1"/>
                  </w14:solidFill>
                </w14:textFill>
              </w:rPr>
            </w:pPr>
          </w:p>
        </w:tc>
        <w:tc>
          <w:tcPr>
            <w:tcW w:w="2264" w:type="dxa"/>
          </w:tcPr>
          <w:p w14:paraId="5A64228B">
            <w:pPr>
              <w:rPr>
                <w:rFonts w:hint="eastAsia" w:ascii="宋体" w:hAnsi="宋体" w:eastAsia="宋体" w:cs="宋体"/>
                <w:color w:val="000000" w:themeColor="text1"/>
                <w:szCs w:val="24"/>
                <w14:textFill>
                  <w14:solidFill>
                    <w14:schemeClr w14:val="tx1"/>
                  </w14:solidFill>
                </w14:textFill>
              </w:rPr>
            </w:pPr>
          </w:p>
        </w:tc>
      </w:tr>
      <w:tr w14:paraId="608CC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5" w:type="dxa"/>
          </w:tcPr>
          <w:p w14:paraId="3B300DEA">
            <w:pPr>
              <w:rPr>
                <w:rFonts w:hint="eastAsia" w:ascii="宋体" w:hAnsi="宋体" w:eastAsia="宋体" w:cs="宋体"/>
                <w:color w:val="000000" w:themeColor="text1"/>
                <w:szCs w:val="24"/>
                <w14:textFill>
                  <w14:solidFill>
                    <w14:schemeClr w14:val="tx1"/>
                  </w14:solidFill>
                </w14:textFill>
              </w:rPr>
            </w:pPr>
          </w:p>
        </w:tc>
        <w:tc>
          <w:tcPr>
            <w:tcW w:w="2250" w:type="dxa"/>
          </w:tcPr>
          <w:p w14:paraId="3D9291B7">
            <w:pPr>
              <w:rPr>
                <w:rFonts w:hint="eastAsia" w:ascii="宋体" w:hAnsi="宋体" w:eastAsia="宋体" w:cs="宋体"/>
                <w:color w:val="000000" w:themeColor="text1"/>
                <w:szCs w:val="24"/>
                <w14:textFill>
                  <w14:solidFill>
                    <w14:schemeClr w14:val="tx1"/>
                  </w14:solidFill>
                </w14:textFill>
              </w:rPr>
            </w:pPr>
          </w:p>
        </w:tc>
        <w:tc>
          <w:tcPr>
            <w:tcW w:w="2986" w:type="dxa"/>
          </w:tcPr>
          <w:p w14:paraId="3AECECCD">
            <w:pPr>
              <w:rPr>
                <w:rFonts w:hint="eastAsia" w:ascii="宋体" w:hAnsi="宋体" w:eastAsia="宋体" w:cs="宋体"/>
                <w:color w:val="000000" w:themeColor="text1"/>
                <w:szCs w:val="24"/>
                <w14:textFill>
                  <w14:solidFill>
                    <w14:schemeClr w14:val="tx1"/>
                  </w14:solidFill>
                </w14:textFill>
              </w:rPr>
            </w:pPr>
          </w:p>
        </w:tc>
        <w:tc>
          <w:tcPr>
            <w:tcW w:w="1718" w:type="dxa"/>
          </w:tcPr>
          <w:p w14:paraId="2E454DB7">
            <w:pPr>
              <w:rPr>
                <w:rFonts w:hint="eastAsia" w:ascii="宋体" w:hAnsi="宋体" w:eastAsia="宋体" w:cs="宋体"/>
                <w:color w:val="000000" w:themeColor="text1"/>
                <w:szCs w:val="24"/>
                <w14:textFill>
                  <w14:solidFill>
                    <w14:schemeClr w14:val="tx1"/>
                  </w14:solidFill>
                </w14:textFill>
              </w:rPr>
            </w:pPr>
          </w:p>
        </w:tc>
        <w:tc>
          <w:tcPr>
            <w:tcW w:w="2264" w:type="dxa"/>
          </w:tcPr>
          <w:p w14:paraId="33C325C5">
            <w:pPr>
              <w:rPr>
                <w:rFonts w:hint="eastAsia" w:ascii="宋体" w:hAnsi="宋体" w:eastAsia="宋体" w:cs="宋体"/>
                <w:color w:val="000000" w:themeColor="text1"/>
                <w:szCs w:val="24"/>
                <w14:textFill>
                  <w14:solidFill>
                    <w14:schemeClr w14:val="tx1"/>
                  </w14:solidFill>
                </w14:textFill>
              </w:rPr>
            </w:pPr>
          </w:p>
        </w:tc>
      </w:tr>
      <w:tr w14:paraId="289D5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5" w:type="dxa"/>
          </w:tcPr>
          <w:p w14:paraId="1443C18B">
            <w:pPr>
              <w:rPr>
                <w:rFonts w:hint="eastAsia" w:ascii="宋体" w:hAnsi="宋体" w:eastAsia="宋体" w:cs="宋体"/>
                <w:color w:val="000000" w:themeColor="text1"/>
                <w:szCs w:val="24"/>
                <w14:textFill>
                  <w14:solidFill>
                    <w14:schemeClr w14:val="tx1"/>
                  </w14:solidFill>
                </w14:textFill>
              </w:rPr>
            </w:pPr>
          </w:p>
        </w:tc>
        <w:tc>
          <w:tcPr>
            <w:tcW w:w="2250" w:type="dxa"/>
          </w:tcPr>
          <w:p w14:paraId="0664B310">
            <w:pPr>
              <w:rPr>
                <w:rFonts w:hint="eastAsia" w:ascii="宋体" w:hAnsi="宋体" w:eastAsia="宋体" w:cs="宋体"/>
                <w:color w:val="000000" w:themeColor="text1"/>
                <w:szCs w:val="24"/>
                <w14:textFill>
                  <w14:solidFill>
                    <w14:schemeClr w14:val="tx1"/>
                  </w14:solidFill>
                </w14:textFill>
              </w:rPr>
            </w:pPr>
          </w:p>
        </w:tc>
        <w:tc>
          <w:tcPr>
            <w:tcW w:w="2986" w:type="dxa"/>
          </w:tcPr>
          <w:p w14:paraId="60361DD0">
            <w:pPr>
              <w:rPr>
                <w:rFonts w:hint="eastAsia" w:ascii="宋体" w:hAnsi="宋体" w:eastAsia="宋体" w:cs="宋体"/>
                <w:color w:val="000000" w:themeColor="text1"/>
                <w:szCs w:val="24"/>
                <w14:textFill>
                  <w14:solidFill>
                    <w14:schemeClr w14:val="tx1"/>
                  </w14:solidFill>
                </w14:textFill>
              </w:rPr>
            </w:pPr>
          </w:p>
        </w:tc>
        <w:tc>
          <w:tcPr>
            <w:tcW w:w="1718" w:type="dxa"/>
          </w:tcPr>
          <w:p w14:paraId="1722ACD3">
            <w:pPr>
              <w:rPr>
                <w:rFonts w:hint="eastAsia" w:ascii="宋体" w:hAnsi="宋体" w:eastAsia="宋体" w:cs="宋体"/>
                <w:color w:val="000000" w:themeColor="text1"/>
                <w:szCs w:val="24"/>
                <w14:textFill>
                  <w14:solidFill>
                    <w14:schemeClr w14:val="tx1"/>
                  </w14:solidFill>
                </w14:textFill>
              </w:rPr>
            </w:pPr>
          </w:p>
        </w:tc>
        <w:tc>
          <w:tcPr>
            <w:tcW w:w="2264" w:type="dxa"/>
          </w:tcPr>
          <w:p w14:paraId="284CE296">
            <w:pPr>
              <w:rPr>
                <w:rFonts w:hint="eastAsia" w:ascii="宋体" w:hAnsi="宋体" w:eastAsia="宋体" w:cs="宋体"/>
                <w:color w:val="000000" w:themeColor="text1"/>
                <w:szCs w:val="24"/>
                <w14:textFill>
                  <w14:solidFill>
                    <w14:schemeClr w14:val="tx1"/>
                  </w14:solidFill>
                </w14:textFill>
              </w:rPr>
            </w:pPr>
          </w:p>
        </w:tc>
      </w:tr>
    </w:tbl>
    <w:p w14:paraId="3706ADF0">
      <w:pPr>
        <w:jc w:val="center"/>
        <w:rPr>
          <w:rFonts w:hint="eastAsia" w:ascii="宋体" w:hAnsi="宋体" w:eastAsia="宋体" w:cs="宋体"/>
          <w:color w:val="000000" w:themeColor="text1"/>
          <w:szCs w:val="24"/>
          <w14:textFill>
            <w14:solidFill>
              <w14:schemeClr w14:val="tx1"/>
            </w14:solidFill>
          </w14:textFill>
        </w:rPr>
      </w:pPr>
    </w:p>
    <w:p w14:paraId="164B919A">
      <w:pPr>
        <w:jc w:val="center"/>
        <w:rPr>
          <w:rFonts w:hint="eastAsia" w:ascii="宋体" w:hAnsi="宋体" w:eastAsia="宋体" w:cs="宋体"/>
          <w:color w:val="000000" w:themeColor="text1"/>
          <w:szCs w:val="24"/>
          <w14:textFill>
            <w14:solidFill>
              <w14:schemeClr w14:val="tx1"/>
            </w14:solidFill>
          </w14:textFill>
        </w:rPr>
      </w:pPr>
    </w:p>
    <w:p w14:paraId="6C1D8A5F">
      <w:pPr>
        <w:jc w:val="center"/>
        <w:rPr>
          <w:rFonts w:hint="eastAsia" w:ascii="宋体" w:hAnsi="宋体" w:eastAsia="宋体" w:cs="宋体"/>
          <w:color w:val="000000" w:themeColor="text1"/>
          <w:szCs w:val="24"/>
          <w14:textFill>
            <w14:solidFill>
              <w14:schemeClr w14:val="tx1"/>
            </w14:solidFill>
          </w14:textFill>
        </w:rPr>
      </w:pPr>
    </w:p>
    <w:p w14:paraId="44525F04">
      <w:pPr>
        <w:jc w:val="center"/>
        <w:rPr>
          <w:rFonts w:hint="eastAsia" w:ascii="宋体" w:hAnsi="宋体" w:eastAsia="宋体" w:cs="宋体"/>
          <w:color w:val="000000" w:themeColor="text1"/>
          <w:szCs w:val="24"/>
          <w14:textFill>
            <w14:solidFill>
              <w14:schemeClr w14:val="tx1"/>
            </w14:solidFill>
          </w14:textFill>
        </w:rPr>
      </w:pPr>
    </w:p>
    <w:p w14:paraId="2713E3B6">
      <w:pPr>
        <w:jc w:val="center"/>
        <w:rPr>
          <w:rFonts w:hint="eastAsia" w:ascii="宋体" w:hAnsi="宋体" w:eastAsia="宋体" w:cs="宋体"/>
          <w:color w:val="000000" w:themeColor="text1"/>
          <w:szCs w:val="24"/>
          <w14:textFill>
            <w14:solidFill>
              <w14:schemeClr w14:val="tx1"/>
            </w14:solidFill>
          </w14:textFill>
        </w:rPr>
      </w:pPr>
    </w:p>
    <w:p w14:paraId="41138CFE">
      <w:pPr>
        <w:jc w:val="center"/>
        <w:rPr>
          <w:rFonts w:hint="eastAsia" w:ascii="宋体" w:hAnsi="宋体" w:eastAsia="宋体" w:cs="宋体"/>
          <w:color w:val="000000" w:themeColor="text1"/>
          <w:szCs w:val="24"/>
          <w14:textFill>
            <w14:solidFill>
              <w14:schemeClr w14:val="tx1"/>
            </w14:solidFill>
          </w14:textFill>
        </w:rPr>
      </w:pPr>
    </w:p>
    <w:p w14:paraId="2614B7E1">
      <w:pPr>
        <w:jc w:val="center"/>
        <w:rPr>
          <w:rFonts w:hint="eastAsia" w:ascii="宋体" w:hAnsi="宋体" w:eastAsia="宋体" w:cs="宋体"/>
          <w:color w:val="000000" w:themeColor="text1"/>
          <w:szCs w:val="24"/>
          <w14:textFill>
            <w14:solidFill>
              <w14:schemeClr w14:val="tx1"/>
            </w14:solidFill>
          </w14:textFill>
        </w:rPr>
      </w:pPr>
    </w:p>
    <w:p w14:paraId="03DEF0C8">
      <w:pPr>
        <w:jc w:val="center"/>
        <w:rPr>
          <w:rFonts w:hint="eastAsia" w:ascii="宋体" w:hAnsi="宋体" w:eastAsia="宋体" w:cs="宋体"/>
          <w:color w:val="000000" w:themeColor="text1"/>
          <w:szCs w:val="24"/>
          <w14:textFill>
            <w14:solidFill>
              <w14:schemeClr w14:val="tx1"/>
            </w14:solidFill>
          </w14:textFill>
        </w:rPr>
      </w:pPr>
    </w:p>
    <w:p w14:paraId="1AC7EB6C">
      <w:pPr>
        <w:jc w:val="center"/>
        <w:rPr>
          <w:rFonts w:hint="eastAsia" w:ascii="宋体" w:hAnsi="宋体" w:eastAsia="宋体" w:cs="宋体"/>
          <w:color w:val="000000" w:themeColor="text1"/>
          <w:szCs w:val="24"/>
          <w14:textFill>
            <w14:solidFill>
              <w14:schemeClr w14:val="tx1"/>
            </w14:solidFill>
          </w14:textFill>
        </w:rPr>
      </w:pPr>
    </w:p>
    <w:p w14:paraId="029F3BA5">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14:paraId="31BFDF44">
      <w:pPr>
        <w:ind w:right="105"/>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bookmarkEnd w:id="421"/>
    <w:bookmarkEnd w:id="422"/>
    <w:p w14:paraId="28E501A2">
      <w:pPr>
        <w:jc w:val="center"/>
        <w:rPr>
          <w:rFonts w:hint="eastAsia" w:ascii="宋体" w:hAnsi="宋体" w:eastAsia="宋体" w:cs="宋体"/>
          <w:b/>
          <w:color w:val="000000" w:themeColor="text1"/>
          <w:sz w:val="44"/>
          <w:szCs w:val="44"/>
          <w14:textFill>
            <w14:solidFill>
              <w14:schemeClr w14:val="tx1"/>
            </w14:solidFill>
          </w14:textFill>
        </w:rPr>
      </w:pPr>
    </w:p>
    <w:p w14:paraId="747C6ABB">
      <w:pPr>
        <w:spacing w:line="360" w:lineRule="auto"/>
        <w:jc w:val="center"/>
        <w:outlineLvl w:val="1"/>
        <w:rPr>
          <w:rFonts w:hint="eastAsia" w:ascii="宋体" w:hAnsi="宋体" w:eastAsia="宋体" w:cs="宋体"/>
          <w:b/>
          <w:bCs/>
          <w:color w:val="000000" w:themeColor="text1"/>
          <w:sz w:val="28"/>
          <w:szCs w:val="28"/>
          <w:lang w:val="zh-CN"/>
          <w14:textFill>
            <w14:solidFill>
              <w14:schemeClr w14:val="tx1"/>
            </w14:solidFill>
          </w14:textFill>
        </w:rPr>
        <w:sectPr>
          <w:headerReference r:id="rId17" w:type="default"/>
          <w:footerReference r:id="rId18" w:type="default"/>
          <w:pgSz w:w="16839" w:h="11907" w:orient="landscape"/>
          <w:pgMar w:top="1440" w:right="1077" w:bottom="1440" w:left="1077" w:header="851" w:footer="992" w:gutter="0"/>
          <w:cols w:space="425" w:num="1"/>
          <w:docGrid w:linePitch="326" w:charSpace="0"/>
        </w:sectPr>
      </w:pPr>
      <w:bookmarkStart w:id="423" w:name="_Toc136173624"/>
    </w:p>
    <w:p w14:paraId="641781B1">
      <w:pPr>
        <w:spacing w:line="360" w:lineRule="auto"/>
        <w:jc w:val="center"/>
        <w:outlineLvl w:val="1"/>
        <w:rPr>
          <w:rFonts w:hint="eastAsia" w:ascii="宋体" w:hAnsi="宋体" w:eastAsia="宋体" w:cs="宋体"/>
          <w:b/>
          <w:bCs/>
          <w:color w:val="000000" w:themeColor="text1"/>
          <w:sz w:val="28"/>
          <w:szCs w:val="28"/>
          <w:lang w:val="zh-CN"/>
          <w14:textFill>
            <w14:solidFill>
              <w14:schemeClr w14:val="tx1"/>
            </w14:solidFill>
          </w14:textFill>
        </w:rPr>
      </w:pPr>
      <w:bookmarkStart w:id="424" w:name="_Toc14358"/>
      <w:r>
        <w:rPr>
          <w:rFonts w:hint="eastAsia" w:ascii="宋体" w:hAnsi="宋体" w:eastAsia="宋体" w:cs="宋体"/>
          <w:b/>
          <w:bCs/>
          <w:color w:val="000000" w:themeColor="text1"/>
          <w:sz w:val="28"/>
          <w:szCs w:val="28"/>
          <w:lang w:val="zh-CN"/>
          <w14:textFill>
            <w14:solidFill>
              <w14:schemeClr w14:val="tx1"/>
            </w14:solidFill>
          </w14:textFill>
        </w:rPr>
        <w:t>3.技术投标书文件的格式和内容</w:t>
      </w:r>
      <w:bookmarkEnd w:id="423"/>
      <w:bookmarkEnd w:id="424"/>
    </w:p>
    <w:p w14:paraId="74D74395">
      <w:pPr>
        <w:jc w:val="center"/>
        <w:rPr>
          <w:rFonts w:hint="eastAsia" w:ascii="宋体" w:hAnsi="宋体" w:eastAsia="宋体" w:cs="宋体"/>
          <w:b/>
          <w:color w:val="000000" w:themeColor="text1"/>
          <w:sz w:val="44"/>
          <w:szCs w:val="44"/>
          <w14:textFill>
            <w14:solidFill>
              <w14:schemeClr w14:val="tx1"/>
            </w14:solidFill>
          </w14:textFill>
        </w:rPr>
      </w:pPr>
    </w:p>
    <w:p w14:paraId="014894A2">
      <w:pPr>
        <w:jc w:val="center"/>
        <w:rPr>
          <w:rFonts w:hint="eastAsia" w:ascii="宋体" w:hAnsi="宋体" w:eastAsia="宋体" w:cs="宋体"/>
          <w:b/>
          <w:color w:val="000000" w:themeColor="text1"/>
          <w:sz w:val="44"/>
          <w:szCs w:val="44"/>
          <w14:textFill>
            <w14:solidFill>
              <w14:schemeClr w14:val="tx1"/>
            </w14:solidFill>
          </w14:textFill>
        </w:rPr>
      </w:pPr>
    </w:p>
    <w:p w14:paraId="587AB4BC">
      <w:pPr>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高州项目、吴川项目</w:t>
      </w:r>
    </w:p>
    <w:p w14:paraId="76747EBD">
      <w:pPr>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2026年度飞灰固化处理服务</w:t>
      </w:r>
    </w:p>
    <w:p w14:paraId="6E2F1A49">
      <w:pPr>
        <w:spacing w:line="360" w:lineRule="auto"/>
        <w:jc w:val="center"/>
        <w:rPr>
          <w:rFonts w:hint="eastAsia"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201045A7">
      <w:pPr>
        <w:spacing w:line="360" w:lineRule="auto"/>
        <w:rPr>
          <w:rFonts w:hint="eastAsia" w:ascii="宋体" w:hAnsi="宋体" w:eastAsia="宋体" w:cs="宋体"/>
          <w:b/>
          <w:bCs/>
          <w:color w:val="000000" w:themeColor="text1"/>
          <w:sz w:val="84"/>
          <w:szCs w:val="84"/>
          <w14:textFill>
            <w14:solidFill>
              <w14:schemeClr w14:val="tx1"/>
            </w14:solidFill>
          </w14:textFill>
        </w:rPr>
      </w:pPr>
    </w:p>
    <w:p w14:paraId="2B4CD722">
      <w:pPr>
        <w:widowControl/>
        <w:adjustRightInd w:val="0"/>
        <w:snapToGrid w:val="0"/>
        <w:spacing w:line="360" w:lineRule="auto"/>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第三部分 技术投标书（服务方案）</w:t>
      </w:r>
    </w:p>
    <w:p w14:paraId="3DE6076C">
      <w:pPr>
        <w:widowControl/>
        <w:adjustRightInd w:val="0"/>
        <w:snapToGrid w:val="0"/>
        <w:spacing w:line="360" w:lineRule="auto"/>
        <w:jc w:val="center"/>
        <w:rPr>
          <w:rFonts w:hint="eastAsia" w:ascii="宋体" w:hAnsi="宋体" w:eastAsia="宋体" w:cs="宋体"/>
          <w:b/>
          <w:color w:val="000000" w:themeColor="text1"/>
          <w:sz w:val="30"/>
          <w:szCs w:val="30"/>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（招标编号:ITB-LK-GZ/WCFD-YY-fw-2026-001）</w:t>
      </w:r>
    </w:p>
    <w:p w14:paraId="3CB78C6E">
      <w:pPr>
        <w:jc w:val="center"/>
        <w:rPr>
          <w:rFonts w:hint="eastAsia" w:ascii="宋体" w:hAnsi="宋体" w:eastAsia="宋体" w:cs="宋体"/>
          <w:b/>
          <w:color w:val="000000" w:themeColor="text1"/>
          <w:sz w:val="28"/>
          <w:szCs w:val="28"/>
          <w14:textFill>
            <w14:solidFill>
              <w14:schemeClr w14:val="tx1"/>
            </w14:solidFill>
          </w14:textFill>
        </w:rPr>
      </w:pPr>
    </w:p>
    <w:p w14:paraId="68933BC3">
      <w:pPr>
        <w:jc w:val="center"/>
        <w:rPr>
          <w:rFonts w:hint="eastAsia" w:ascii="宋体" w:hAnsi="宋体" w:eastAsia="宋体" w:cs="宋体"/>
          <w:b/>
          <w:color w:val="000000" w:themeColor="text1"/>
          <w:sz w:val="28"/>
          <w:szCs w:val="28"/>
          <w14:textFill>
            <w14:solidFill>
              <w14:schemeClr w14:val="tx1"/>
            </w14:solidFill>
          </w14:textFill>
        </w:rPr>
      </w:pPr>
    </w:p>
    <w:p w14:paraId="7368A5F1">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10B3034B">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3E9207B9">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033F15E2">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p>
    <w:p w14:paraId="26373221">
      <w:pPr>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w:t>
      </w:r>
      <w:r>
        <w:rPr>
          <w:rFonts w:hint="eastAsia" w:ascii="宋体" w:hAnsi="宋体" w:eastAsia="宋体" w:cs="宋体"/>
          <w:bCs/>
          <w:color w:val="000000" w:themeColor="text1"/>
          <w:sz w:val="28"/>
          <w:szCs w:val="28"/>
          <w14:textFill>
            <w14:solidFill>
              <w14:schemeClr w14:val="tx1"/>
            </w14:solidFill>
          </w14:textFill>
        </w:rPr>
        <w:t>五</w:t>
      </w:r>
      <w:r>
        <w:rPr>
          <w:rFonts w:hint="eastAsia" w:ascii="宋体" w:hAnsi="宋体" w:eastAsia="宋体" w:cs="宋体"/>
          <w:bCs/>
          <w:color w:val="000000" w:themeColor="text1"/>
          <w:sz w:val="28"/>
          <w:szCs w:val="28"/>
          <w:lang w:val="zh-CN"/>
          <w14:textFill>
            <w14:solidFill>
              <w14:schemeClr w14:val="tx1"/>
            </w14:solidFill>
          </w14:textFill>
        </w:rPr>
        <w:t>年  月   日</w:t>
      </w:r>
    </w:p>
    <w:p w14:paraId="2E8AEA38">
      <w:pPr>
        <w:pStyle w:val="2"/>
        <w:ind w:firstLine="280"/>
        <w:rPr>
          <w:rFonts w:hint="eastAsia" w:ascii="宋体" w:hAnsi="宋体" w:cs="宋体"/>
          <w:bCs/>
          <w:color w:val="000000" w:themeColor="text1"/>
          <w:sz w:val="28"/>
          <w:szCs w:val="28"/>
          <w:lang w:val="zh-CN"/>
          <w14:textFill>
            <w14:solidFill>
              <w14:schemeClr w14:val="tx1"/>
            </w14:solidFill>
          </w14:textFill>
        </w:rPr>
      </w:pPr>
    </w:p>
    <w:p w14:paraId="224822BD">
      <w:pPr>
        <w:pStyle w:val="2"/>
        <w:ind w:firstLine="280"/>
        <w:rPr>
          <w:rFonts w:hint="eastAsia" w:ascii="宋体" w:hAnsi="宋体" w:cs="宋体"/>
          <w:bCs/>
          <w:color w:val="000000" w:themeColor="text1"/>
          <w:sz w:val="28"/>
          <w:szCs w:val="28"/>
          <w:lang w:val="zh-CN"/>
          <w14:textFill>
            <w14:solidFill>
              <w14:schemeClr w14:val="tx1"/>
            </w14:solidFill>
          </w14:textFill>
        </w:rPr>
      </w:pPr>
    </w:p>
    <w:p w14:paraId="44696F92">
      <w:pPr>
        <w:pStyle w:val="2"/>
        <w:ind w:firstLine="280"/>
        <w:rPr>
          <w:rFonts w:hint="eastAsia" w:ascii="宋体" w:hAnsi="宋体" w:cs="宋体"/>
          <w:bCs/>
          <w:color w:val="000000" w:themeColor="text1"/>
          <w:sz w:val="28"/>
          <w:szCs w:val="28"/>
          <w:lang w:val="zh-CN"/>
          <w14:textFill>
            <w14:solidFill>
              <w14:schemeClr w14:val="tx1"/>
            </w14:solidFill>
          </w14:textFill>
        </w:rPr>
      </w:pPr>
    </w:p>
    <w:p w14:paraId="1BEA15C0">
      <w:pPr>
        <w:pStyle w:val="2"/>
        <w:ind w:firstLine="281"/>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一、项目概况与服务范围响应</w:t>
      </w:r>
    </w:p>
    <w:p w14:paraId="7E5114D4">
      <w:pPr>
        <w:pStyle w:val="2"/>
        <w:ind w:firstLine="28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1.项目匹配说明</w:t>
      </w:r>
    </w:p>
    <w:p w14:paraId="0798FE0F">
      <w:pPr>
        <w:pStyle w:val="2"/>
        <w:ind w:firstLine="0" w:firstLineChars="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 xml:space="preserve">  2、服务范围响应情况</w:t>
      </w:r>
    </w:p>
    <w:p w14:paraId="13572E70">
      <w:pPr>
        <w:pStyle w:val="2"/>
        <w:ind w:firstLine="281"/>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二、飞灰固化处理专项技术方案</w:t>
      </w:r>
    </w:p>
    <w:p w14:paraId="129D3FE1">
      <w:pPr>
        <w:pStyle w:val="2"/>
        <w:ind w:firstLine="28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 xml:space="preserve"> 1.螯合剂选型与加药方案</w:t>
      </w:r>
    </w:p>
    <w:p w14:paraId="35A84F44">
      <w:pPr>
        <w:pStyle w:val="2"/>
        <w:ind w:firstLine="28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 xml:space="preserve"> 2.飞固化处理流程</w:t>
      </w:r>
    </w:p>
    <w:p w14:paraId="14F5A3D8">
      <w:pPr>
        <w:pStyle w:val="2"/>
        <w:ind w:firstLine="28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 xml:space="preserve"> 3.堵灰应急处理</w:t>
      </w:r>
    </w:p>
    <w:p w14:paraId="2E9B5B87">
      <w:pPr>
        <w:pStyle w:val="2"/>
        <w:ind w:left="240" w:leftChars="100" w:firstLine="0" w:firstLineChars="0"/>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三、人员与机械配置方案</w:t>
      </w:r>
    </w:p>
    <w:p w14:paraId="19131D84">
      <w:pPr>
        <w:pStyle w:val="2"/>
        <w:ind w:left="380" w:firstLine="0" w:firstLineChars="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1.人员配置</w:t>
      </w:r>
    </w:p>
    <w:p w14:paraId="0D6011C5">
      <w:pPr>
        <w:pStyle w:val="2"/>
        <w:ind w:left="380" w:firstLine="0" w:firstLineChars="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2.机械配置</w:t>
      </w:r>
    </w:p>
    <w:p w14:paraId="39966A9D">
      <w:pPr>
        <w:pStyle w:val="2"/>
        <w:ind w:left="380" w:firstLine="0" w:firstLineChars="0"/>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四、服务质量、进度与安全保障措施</w:t>
      </w:r>
    </w:p>
    <w:p w14:paraId="5A84DDC7">
      <w:pPr>
        <w:pStyle w:val="2"/>
        <w:ind w:left="380" w:firstLine="0" w:firstLineChars="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1.质量保证</w:t>
      </w:r>
    </w:p>
    <w:p w14:paraId="363D05D8">
      <w:pPr>
        <w:pStyle w:val="2"/>
        <w:ind w:left="380" w:firstLine="0" w:firstLineChars="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2.进度保证</w:t>
      </w:r>
    </w:p>
    <w:p w14:paraId="5E15EE2F">
      <w:pPr>
        <w:pStyle w:val="2"/>
        <w:ind w:left="380" w:firstLine="0" w:firstLineChars="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3.安全与环保保证</w:t>
      </w:r>
    </w:p>
    <w:p w14:paraId="0A5F5C31">
      <w:pPr>
        <w:pStyle w:val="2"/>
        <w:ind w:left="380" w:firstLine="0" w:firstLineChars="0"/>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五、设备运维方案</w:t>
      </w:r>
    </w:p>
    <w:p w14:paraId="0760727C">
      <w:pPr>
        <w:pStyle w:val="2"/>
        <w:ind w:left="380" w:firstLine="0" w:firstLineChars="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1.日常运维（每日）</w:t>
      </w:r>
    </w:p>
    <w:p w14:paraId="1A14B8BF">
      <w:pPr>
        <w:pStyle w:val="2"/>
        <w:ind w:left="380" w:firstLine="0" w:firstLineChars="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2.定期维护（每周/每月）</w:t>
      </w:r>
    </w:p>
    <w:p w14:paraId="2800259F">
      <w:pPr>
        <w:pStyle w:val="2"/>
        <w:ind w:left="380" w:firstLine="0" w:firstLineChars="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3.故障维修</w:t>
      </w:r>
    </w:p>
    <w:p w14:paraId="28AFFB03">
      <w:pPr>
        <w:pStyle w:val="2"/>
        <w:ind w:left="380" w:firstLine="0" w:firstLineChars="0"/>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六、应急处置预案</w:t>
      </w:r>
    </w:p>
    <w:p w14:paraId="023D690D">
      <w:pPr>
        <w:pStyle w:val="2"/>
        <w:ind w:left="380" w:firstLine="0" w:firstLineChars="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1.飞灰泄漏应急</w:t>
      </w:r>
    </w:p>
    <w:p w14:paraId="08F3CBBA">
      <w:pPr>
        <w:pStyle w:val="2"/>
        <w:ind w:left="380" w:firstLine="0" w:firstLineChars="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2.人员职业健康应急</w:t>
      </w:r>
    </w:p>
    <w:p w14:paraId="0BDB544D">
      <w:pPr>
        <w:pStyle w:val="2"/>
        <w:ind w:left="380" w:firstLine="0" w:firstLineChars="0"/>
        <w:rPr>
          <w:rFonts w:hint="eastAsia"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3.设备安全应急</w:t>
      </w:r>
    </w:p>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PMingLiU-ExtB"/>
    <w:panose1 w:val="02020404030301010803"/>
    <w:charset w:val="00"/>
    <w:family w:val="roman"/>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3B189">
    <w:pPr>
      <w:pStyle w:val="31"/>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C3683">
    <w:pPr>
      <w:pStyle w:val="31"/>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C3C76E">
                          <w:pPr>
                            <w:pStyle w:val="31"/>
                          </w:pPr>
                          <w:r>
                            <w:t xml:space="preserve">第 </w:t>
                          </w:r>
                          <w:r>
                            <w:fldChar w:fldCharType="begin"/>
                          </w:r>
                          <w:r>
                            <w:instrText xml:space="preserve"> PAGE  \* MERGEFORMAT </w:instrText>
                          </w:r>
                          <w:r>
                            <w:fldChar w:fldCharType="separate"/>
                          </w:r>
                          <w:r>
                            <w:t>56</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1C3C76E">
                    <w:pPr>
                      <w:pStyle w:val="31"/>
                    </w:pPr>
                    <w:r>
                      <w:t xml:space="preserve">第 </w:t>
                    </w:r>
                    <w:r>
                      <w:fldChar w:fldCharType="begin"/>
                    </w:r>
                    <w:r>
                      <w:instrText xml:space="preserve"> PAGE  \* MERGEFORMAT </w:instrText>
                    </w:r>
                    <w:r>
                      <w:fldChar w:fldCharType="separate"/>
                    </w:r>
                    <w:r>
                      <w:t>56</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v:textbox>
            </v:shape>
          </w:pict>
        </mc:Fallback>
      </mc:AlternateContent>
    </w:r>
  </w:p>
  <w:p w14:paraId="6D440AE4">
    <w:pPr>
      <w:pStyle w:val="31"/>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51E11">
    <w:pPr>
      <w:pStyle w:val="31"/>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DB47D">
                          <w:pPr>
                            <w:pStyle w:val="31"/>
                          </w:pPr>
                          <w:r>
                            <w:t xml:space="preserve">第 </w:t>
                          </w:r>
                          <w:r>
                            <w:fldChar w:fldCharType="begin"/>
                          </w:r>
                          <w:r>
                            <w:instrText xml:space="preserve"> PAGE  \* MERGEFORMAT </w:instrText>
                          </w:r>
                          <w:r>
                            <w:fldChar w:fldCharType="separate"/>
                          </w:r>
                          <w:r>
                            <w:t>57</w:t>
                          </w:r>
                          <w:r>
                            <w:fldChar w:fldCharType="end"/>
                          </w:r>
                          <w:r>
                            <w:t xml:space="preserve"> 页 共 </w:t>
                          </w:r>
                          <w:r>
                            <w:rPr>
                              <w:rFonts w:hint="eastAsia"/>
                            </w:rPr>
                            <w:t>60</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542DB47D">
                    <w:pPr>
                      <w:pStyle w:val="31"/>
                    </w:pPr>
                    <w:r>
                      <w:t xml:space="preserve">第 </w:t>
                    </w:r>
                    <w:r>
                      <w:fldChar w:fldCharType="begin"/>
                    </w:r>
                    <w:r>
                      <w:instrText xml:space="preserve"> PAGE  \* MERGEFORMAT </w:instrText>
                    </w:r>
                    <w:r>
                      <w:fldChar w:fldCharType="separate"/>
                    </w:r>
                    <w:r>
                      <w:t>57</w:t>
                    </w:r>
                    <w:r>
                      <w:fldChar w:fldCharType="end"/>
                    </w:r>
                    <w:r>
                      <w:t xml:space="preserve"> 页 共 </w:t>
                    </w:r>
                    <w:r>
                      <w:rPr>
                        <w:rFonts w:hint="eastAsia"/>
                      </w:rPr>
                      <w:t>60</w:t>
                    </w:r>
                    <w:r>
                      <w:t>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sdt>
        <w:sdtPr>
          <w:rPr>
            <w:rFonts w:asciiTheme="minorEastAsia" w:hAnsiTheme="minorEastAsia" w:eastAsiaTheme="minorEastAsia"/>
          </w:rPr>
          <w:id w:val="-1705238520"/>
        </w:sdtPr>
        <w:sdtEndPr>
          <w:rPr>
            <w:rFonts w:asciiTheme="minorEastAsia" w:hAnsiTheme="minorEastAsia" w:eastAsiaTheme="minorEastAsia"/>
          </w:rPr>
        </w:sdtEndPr>
        <w:sdtContent>
          <w:p w14:paraId="1481E8DD">
            <w:pPr>
              <w:pStyle w:val="31"/>
              <w:jc w:val="center"/>
              <w:rPr>
                <w:rFonts w:hint="eastAsia"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37</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60 页</w:t>
            </w:r>
          </w:p>
        </w:sdtContent>
      </w:sdt>
    </w:sdtContent>
  </w:sdt>
  <w:p w14:paraId="56CF29F2">
    <w:pPr>
      <w:pStyle w:val="31"/>
      <w:rPr>
        <w:rFonts w:hint="eastAsia"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B165C">
    <w:pPr>
      <w:pStyle w:val="31"/>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B839A">
    <w:pPr>
      <w:pStyle w:val="31"/>
      <w:rPr>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6B4FD0">
                          <w:pPr>
                            <w:pStyle w:val="31"/>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rPr>
                            <w:t>60</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666B4FD0">
                    <w:pPr>
                      <w:pStyle w:val="31"/>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rPr>
                      <w:t>60</w:t>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FD87">
    <w:pPr>
      <w:pStyle w:val="31"/>
      <w:rPr>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DB8602">
                          <w:pPr>
                            <w:pStyle w:val="31"/>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rPr>
                            <w:t>60</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1BDB8602">
                    <w:pPr>
                      <w:pStyle w:val="31"/>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rPr>
                      <w:t>60</w:t>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57456">
    <w:pPr>
      <w:pStyle w:val="3"/>
      <w:spacing w:line="14" w:lineRule="auto"/>
      <w:rPr>
        <w:rFonts w:hint="eastAsia"/>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4B0DB4">
                          <w:pPr>
                            <w:pStyle w:val="31"/>
                          </w:pPr>
                          <w:r>
                            <w:t xml:space="preserve">第 </w:t>
                          </w:r>
                          <w:r>
                            <w:fldChar w:fldCharType="begin"/>
                          </w:r>
                          <w:r>
                            <w:instrText xml:space="preserve"> PAGE  \* MERGEFORMAT </w:instrText>
                          </w:r>
                          <w:r>
                            <w:fldChar w:fldCharType="separate"/>
                          </w:r>
                          <w:r>
                            <w:t>25</w:t>
                          </w:r>
                          <w:r>
                            <w:fldChar w:fldCharType="end"/>
                          </w:r>
                          <w:r>
                            <w:t xml:space="preserve"> 页 共 </w:t>
                          </w:r>
                          <w:r>
                            <w:rPr>
                              <w:rFonts w:hint="eastAsia"/>
                            </w:rPr>
                            <w:t>60</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B4B0DB4">
                    <w:pPr>
                      <w:pStyle w:val="31"/>
                    </w:pPr>
                    <w:r>
                      <w:t xml:space="preserve">第 </w:t>
                    </w:r>
                    <w:r>
                      <w:fldChar w:fldCharType="begin"/>
                    </w:r>
                    <w:r>
                      <w:instrText xml:space="preserve"> PAGE  \* MERGEFORMAT </w:instrText>
                    </w:r>
                    <w:r>
                      <w:fldChar w:fldCharType="separate"/>
                    </w:r>
                    <w:r>
                      <w:t>25</w:t>
                    </w:r>
                    <w:r>
                      <w:fldChar w:fldCharType="end"/>
                    </w:r>
                    <w:r>
                      <w:t xml:space="preserve"> 页 共 </w:t>
                    </w:r>
                    <w:r>
                      <w:rPr>
                        <w:rFonts w:hint="eastAsia"/>
                      </w:rPr>
                      <w:t>60</w:t>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2F175">
    <w:pPr>
      <w:pStyle w:val="3"/>
      <w:spacing w:line="14" w:lineRule="auto"/>
      <w:rPr>
        <w:rFonts w:hint="eastAsia"/>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8A8C68">
                          <w:pPr>
                            <w:pStyle w:val="31"/>
                          </w:pPr>
                          <w:r>
                            <w:t xml:space="preserve">第 </w:t>
                          </w:r>
                          <w:r>
                            <w:fldChar w:fldCharType="begin"/>
                          </w:r>
                          <w:r>
                            <w:instrText xml:space="preserve"> PAGE  \* MERGEFORMAT </w:instrText>
                          </w:r>
                          <w:r>
                            <w:fldChar w:fldCharType="separate"/>
                          </w:r>
                          <w:r>
                            <w:t>41</w:t>
                          </w:r>
                          <w:r>
                            <w:fldChar w:fldCharType="end"/>
                          </w:r>
                          <w:r>
                            <w:t xml:space="preserve"> 页 共 </w:t>
                          </w:r>
                          <w:r>
                            <w:rPr>
                              <w:rFonts w:hint="eastAsia"/>
                            </w:rPr>
                            <w:t>60</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D8A8C68">
                    <w:pPr>
                      <w:pStyle w:val="31"/>
                    </w:pPr>
                    <w:r>
                      <w:t xml:space="preserve">第 </w:t>
                    </w:r>
                    <w:r>
                      <w:fldChar w:fldCharType="begin"/>
                    </w:r>
                    <w:r>
                      <w:instrText xml:space="preserve"> PAGE  \* MERGEFORMAT </w:instrText>
                    </w:r>
                    <w:r>
                      <w:fldChar w:fldCharType="separate"/>
                    </w:r>
                    <w:r>
                      <w:t>41</w:t>
                    </w:r>
                    <w:r>
                      <w:fldChar w:fldCharType="end"/>
                    </w:r>
                    <w:r>
                      <w:t xml:space="preserve"> 页 共 </w:t>
                    </w:r>
                    <w:r>
                      <w:rPr>
                        <w:rFonts w:hint="eastAsia"/>
                      </w:rPr>
                      <w:t>60</w:t>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94121">
    <w:pPr>
      <w:pStyle w:val="3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0BE77C">
                          <w:pPr>
                            <w:pStyle w:val="31"/>
                          </w:pPr>
                          <w:r>
                            <w:t xml:space="preserve">第 </w:t>
                          </w:r>
                          <w:r>
                            <w:fldChar w:fldCharType="begin"/>
                          </w:r>
                          <w:r>
                            <w:instrText xml:space="preserve"> PAGE  \* MERGEFORMAT </w:instrText>
                          </w:r>
                          <w:r>
                            <w:fldChar w:fldCharType="separate"/>
                          </w:r>
                          <w:r>
                            <w:t>52</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90BE77C">
                    <w:pPr>
                      <w:pStyle w:val="31"/>
                    </w:pPr>
                    <w:r>
                      <w:t xml:space="preserve">第 </w:t>
                    </w:r>
                    <w:r>
                      <w:fldChar w:fldCharType="begin"/>
                    </w:r>
                    <w:r>
                      <w:instrText xml:space="preserve"> PAGE  \* MERGEFORMAT </w:instrText>
                    </w:r>
                    <w:r>
                      <w:fldChar w:fldCharType="separate"/>
                    </w:r>
                    <w:r>
                      <w:t>52</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v:textbox>
            </v:shape>
          </w:pict>
        </mc:Fallback>
      </mc:AlternateContent>
    </w:r>
  </w:p>
  <w:p w14:paraId="4FF46A7A">
    <w:pPr>
      <w:pStyle w:val="31"/>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79FE3">
    <w:pPr>
      <w:pStyle w:val="31"/>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A406C1">
                          <w:pPr>
                            <w:pStyle w:val="31"/>
                          </w:pPr>
                          <w:r>
                            <w:t xml:space="preserve">第 </w:t>
                          </w:r>
                          <w:r>
                            <w:fldChar w:fldCharType="begin"/>
                          </w:r>
                          <w:r>
                            <w:instrText xml:space="preserve"> PAGE  \* MERGEFORMAT </w:instrText>
                          </w:r>
                          <w:r>
                            <w:fldChar w:fldCharType="separate"/>
                          </w:r>
                          <w:r>
                            <w:t>54</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7A406C1">
                    <w:pPr>
                      <w:pStyle w:val="31"/>
                    </w:pPr>
                    <w:r>
                      <w:t xml:space="preserve">第 </w:t>
                    </w:r>
                    <w:r>
                      <w:fldChar w:fldCharType="begin"/>
                    </w:r>
                    <w:r>
                      <w:instrText xml:space="preserve"> PAGE  \* MERGEFORMAT </w:instrText>
                    </w:r>
                    <w:r>
                      <w:fldChar w:fldCharType="separate"/>
                    </w:r>
                    <w:r>
                      <w:t>54</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6909F">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3ED79">
    <w:pPr>
      <w:pBdr>
        <w:bottom w:val="single" w:color="auto" w:sz="4" w:space="1"/>
      </w:pBdr>
      <w:rPr>
        <w:rFonts w:hint="eastAsia"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AF137">
    <w:pPr>
      <w:pStyle w:val="33"/>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4E507">
    <w:pPr>
      <w:pBdr>
        <w:bottom w:val="single" w:color="auto" w:sz="4" w:space="1"/>
      </w:pBdr>
      <w:rPr>
        <w:rFonts w:hint="eastAsia"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87B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220D3"/>
    <w:multiLevelType w:val="singleLevel"/>
    <w:tmpl w:val="8C2220D3"/>
    <w:lvl w:ilvl="0" w:tentative="0">
      <w:start w:val="1"/>
      <w:numFmt w:val="decimal"/>
      <w:suff w:val="nothing"/>
      <w:lvlText w:val="（%1）"/>
      <w:lvlJc w:val="left"/>
    </w:lvl>
  </w:abstractNum>
  <w:abstractNum w:abstractNumId="1">
    <w:nsid w:val="D034C5A5"/>
    <w:multiLevelType w:val="singleLevel"/>
    <w:tmpl w:val="D034C5A5"/>
    <w:lvl w:ilvl="0" w:tentative="0">
      <w:start w:val="1"/>
      <w:numFmt w:val="decimal"/>
      <w:suff w:val="nothing"/>
      <w:lvlText w:val="（%1）"/>
      <w:lvlJc w:val="left"/>
    </w:lvl>
  </w:abstractNum>
  <w:abstractNum w:abstractNumId="2">
    <w:nsid w:val="3F669B4F"/>
    <w:multiLevelType w:val="multilevel"/>
    <w:tmpl w:val="3F669B4F"/>
    <w:lvl w:ilvl="0" w:tentative="0">
      <w:start w:val="4"/>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5D5769D9"/>
    <w:multiLevelType w:val="singleLevel"/>
    <w:tmpl w:val="5D5769D9"/>
    <w:lvl w:ilvl="0" w:tentative="0">
      <w:start w:val="1"/>
      <w:numFmt w:val="chineseCounting"/>
      <w:suff w:val="space"/>
      <w:lvlText w:val="第%1章"/>
      <w:lvlJc w:val="left"/>
    </w:lvl>
  </w:abstractNum>
  <w:abstractNum w:abstractNumId="4">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3Yzc0NzEzODgzOGFkYzcwMmRjZWU3ZmU2MDExNGMifQ=="/>
  </w:docVars>
  <w:rsids>
    <w:rsidRoot w:val="00C03E09"/>
    <w:rsid w:val="00000E21"/>
    <w:rsid w:val="000015A0"/>
    <w:rsid w:val="0000479E"/>
    <w:rsid w:val="000064AB"/>
    <w:rsid w:val="00016902"/>
    <w:rsid w:val="00016FDC"/>
    <w:rsid w:val="00017E33"/>
    <w:rsid w:val="00017EEB"/>
    <w:rsid w:val="00020BD9"/>
    <w:rsid w:val="0002131D"/>
    <w:rsid w:val="000223DF"/>
    <w:rsid w:val="00024E87"/>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61B8E"/>
    <w:rsid w:val="0006207B"/>
    <w:rsid w:val="000665E6"/>
    <w:rsid w:val="000675F6"/>
    <w:rsid w:val="00067A5E"/>
    <w:rsid w:val="00067BD3"/>
    <w:rsid w:val="00071007"/>
    <w:rsid w:val="000729F6"/>
    <w:rsid w:val="00074417"/>
    <w:rsid w:val="00080597"/>
    <w:rsid w:val="000901BD"/>
    <w:rsid w:val="0009149E"/>
    <w:rsid w:val="000A2362"/>
    <w:rsid w:val="000A35D7"/>
    <w:rsid w:val="000A4171"/>
    <w:rsid w:val="000A4355"/>
    <w:rsid w:val="000A6715"/>
    <w:rsid w:val="000A7221"/>
    <w:rsid w:val="000A7357"/>
    <w:rsid w:val="000B0C1E"/>
    <w:rsid w:val="000B3680"/>
    <w:rsid w:val="000B3C97"/>
    <w:rsid w:val="000B4290"/>
    <w:rsid w:val="000B4DB1"/>
    <w:rsid w:val="000B73AC"/>
    <w:rsid w:val="000C0DC1"/>
    <w:rsid w:val="000C1ED8"/>
    <w:rsid w:val="000C2859"/>
    <w:rsid w:val="000C4691"/>
    <w:rsid w:val="000C7E6F"/>
    <w:rsid w:val="000C7F4D"/>
    <w:rsid w:val="000D0756"/>
    <w:rsid w:val="000D42BB"/>
    <w:rsid w:val="000D4A66"/>
    <w:rsid w:val="000D4DE0"/>
    <w:rsid w:val="000D5048"/>
    <w:rsid w:val="000D66C8"/>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FDA"/>
    <w:rsid w:val="00107BCE"/>
    <w:rsid w:val="00110B7B"/>
    <w:rsid w:val="00111CBF"/>
    <w:rsid w:val="00114EDC"/>
    <w:rsid w:val="00117746"/>
    <w:rsid w:val="001177CA"/>
    <w:rsid w:val="00122CB3"/>
    <w:rsid w:val="00132044"/>
    <w:rsid w:val="00136961"/>
    <w:rsid w:val="001373A6"/>
    <w:rsid w:val="00137A11"/>
    <w:rsid w:val="00142197"/>
    <w:rsid w:val="00143FC9"/>
    <w:rsid w:val="001444DE"/>
    <w:rsid w:val="00151579"/>
    <w:rsid w:val="00152D94"/>
    <w:rsid w:val="00154CEF"/>
    <w:rsid w:val="00157CFD"/>
    <w:rsid w:val="00160A92"/>
    <w:rsid w:val="00164C31"/>
    <w:rsid w:val="001706D5"/>
    <w:rsid w:val="001740BA"/>
    <w:rsid w:val="00174CBF"/>
    <w:rsid w:val="00176EC7"/>
    <w:rsid w:val="00180CF1"/>
    <w:rsid w:val="00182243"/>
    <w:rsid w:val="00184EBC"/>
    <w:rsid w:val="001864DF"/>
    <w:rsid w:val="00186522"/>
    <w:rsid w:val="00186F30"/>
    <w:rsid w:val="0019653D"/>
    <w:rsid w:val="00197A5A"/>
    <w:rsid w:val="00197DAB"/>
    <w:rsid w:val="00197F71"/>
    <w:rsid w:val="001A062B"/>
    <w:rsid w:val="001A2473"/>
    <w:rsid w:val="001A36BD"/>
    <w:rsid w:val="001A4EE6"/>
    <w:rsid w:val="001A504C"/>
    <w:rsid w:val="001A61CF"/>
    <w:rsid w:val="001A6FE4"/>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65D3"/>
    <w:rsid w:val="001E6798"/>
    <w:rsid w:val="001F04E3"/>
    <w:rsid w:val="001F3981"/>
    <w:rsid w:val="001F586E"/>
    <w:rsid w:val="001F6662"/>
    <w:rsid w:val="001F6BE8"/>
    <w:rsid w:val="0020032D"/>
    <w:rsid w:val="00207A27"/>
    <w:rsid w:val="00210DAC"/>
    <w:rsid w:val="00213DB0"/>
    <w:rsid w:val="0022117A"/>
    <w:rsid w:val="00222AD8"/>
    <w:rsid w:val="00224FE0"/>
    <w:rsid w:val="00227A40"/>
    <w:rsid w:val="00231145"/>
    <w:rsid w:val="002359E0"/>
    <w:rsid w:val="00245EF3"/>
    <w:rsid w:val="00250855"/>
    <w:rsid w:val="00251181"/>
    <w:rsid w:val="002539E0"/>
    <w:rsid w:val="002604FB"/>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A412D"/>
    <w:rsid w:val="002B0D6C"/>
    <w:rsid w:val="002B1244"/>
    <w:rsid w:val="002B5ADB"/>
    <w:rsid w:val="002B607C"/>
    <w:rsid w:val="002B6406"/>
    <w:rsid w:val="002B678C"/>
    <w:rsid w:val="002B6EA1"/>
    <w:rsid w:val="002B78D9"/>
    <w:rsid w:val="002C1448"/>
    <w:rsid w:val="002C171E"/>
    <w:rsid w:val="002C22F2"/>
    <w:rsid w:val="002C49B4"/>
    <w:rsid w:val="002C4E8C"/>
    <w:rsid w:val="002C5C87"/>
    <w:rsid w:val="002D0C71"/>
    <w:rsid w:val="002D258A"/>
    <w:rsid w:val="002D5F2F"/>
    <w:rsid w:val="002D70CA"/>
    <w:rsid w:val="002E1923"/>
    <w:rsid w:val="002E4AEB"/>
    <w:rsid w:val="002E68E5"/>
    <w:rsid w:val="002E691E"/>
    <w:rsid w:val="002E6A5F"/>
    <w:rsid w:val="002E7BE6"/>
    <w:rsid w:val="002F20E9"/>
    <w:rsid w:val="002F6C51"/>
    <w:rsid w:val="00301F2E"/>
    <w:rsid w:val="00305EB0"/>
    <w:rsid w:val="00306C53"/>
    <w:rsid w:val="0031408F"/>
    <w:rsid w:val="00314D41"/>
    <w:rsid w:val="00317390"/>
    <w:rsid w:val="0032226E"/>
    <w:rsid w:val="00323090"/>
    <w:rsid w:val="0032362E"/>
    <w:rsid w:val="00333DB0"/>
    <w:rsid w:val="003352B0"/>
    <w:rsid w:val="00340611"/>
    <w:rsid w:val="00341246"/>
    <w:rsid w:val="003466DB"/>
    <w:rsid w:val="00347632"/>
    <w:rsid w:val="00352AA4"/>
    <w:rsid w:val="00354116"/>
    <w:rsid w:val="00354BC0"/>
    <w:rsid w:val="00360BED"/>
    <w:rsid w:val="00365535"/>
    <w:rsid w:val="00371B55"/>
    <w:rsid w:val="003740A8"/>
    <w:rsid w:val="00376319"/>
    <w:rsid w:val="00383CB8"/>
    <w:rsid w:val="00383EEC"/>
    <w:rsid w:val="00386874"/>
    <w:rsid w:val="00390CAE"/>
    <w:rsid w:val="00391E25"/>
    <w:rsid w:val="0039331A"/>
    <w:rsid w:val="0039673C"/>
    <w:rsid w:val="003A0D9D"/>
    <w:rsid w:val="003A430C"/>
    <w:rsid w:val="003A6A78"/>
    <w:rsid w:val="003B0681"/>
    <w:rsid w:val="003B0D97"/>
    <w:rsid w:val="003B62F3"/>
    <w:rsid w:val="003C2229"/>
    <w:rsid w:val="003C3DEE"/>
    <w:rsid w:val="003C6A1E"/>
    <w:rsid w:val="003C7939"/>
    <w:rsid w:val="003C7D64"/>
    <w:rsid w:val="003D00C9"/>
    <w:rsid w:val="003D1901"/>
    <w:rsid w:val="003D5D4F"/>
    <w:rsid w:val="003E0B1C"/>
    <w:rsid w:val="003E15FE"/>
    <w:rsid w:val="003E4BE6"/>
    <w:rsid w:val="003E5147"/>
    <w:rsid w:val="003E6B44"/>
    <w:rsid w:val="003E74CA"/>
    <w:rsid w:val="003F044F"/>
    <w:rsid w:val="003F4060"/>
    <w:rsid w:val="003F455A"/>
    <w:rsid w:val="003F471D"/>
    <w:rsid w:val="003F5F42"/>
    <w:rsid w:val="00401F89"/>
    <w:rsid w:val="004027AB"/>
    <w:rsid w:val="00404783"/>
    <w:rsid w:val="00410BC3"/>
    <w:rsid w:val="00411480"/>
    <w:rsid w:val="004225FC"/>
    <w:rsid w:val="00424893"/>
    <w:rsid w:val="00432480"/>
    <w:rsid w:val="0044189C"/>
    <w:rsid w:val="00441E90"/>
    <w:rsid w:val="00444F04"/>
    <w:rsid w:val="004463B2"/>
    <w:rsid w:val="00450591"/>
    <w:rsid w:val="0045106E"/>
    <w:rsid w:val="004540B0"/>
    <w:rsid w:val="0045463B"/>
    <w:rsid w:val="00454AD3"/>
    <w:rsid w:val="004654C0"/>
    <w:rsid w:val="00467DB0"/>
    <w:rsid w:val="0047191E"/>
    <w:rsid w:val="0047207F"/>
    <w:rsid w:val="004740C7"/>
    <w:rsid w:val="00474307"/>
    <w:rsid w:val="00474F71"/>
    <w:rsid w:val="00476A5F"/>
    <w:rsid w:val="00484272"/>
    <w:rsid w:val="004919B2"/>
    <w:rsid w:val="00491D31"/>
    <w:rsid w:val="00492632"/>
    <w:rsid w:val="00497536"/>
    <w:rsid w:val="004A0072"/>
    <w:rsid w:val="004A26FA"/>
    <w:rsid w:val="004A27DF"/>
    <w:rsid w:val="004A3810"/>
    <w:rsid w:val="004A3CC6"/>
    <w:rsid w:val="004A5565"/>
    <w:rsid w:val="004A6836"/>
    <w:rsid w:val="004B12CE"/>
    <w:rsid w:val="004B7E2B"/>
    <w:rsid w:val="004C57F8"/>
    <w:rsid w:val="004C66A2"/>
    <w:rsid w:val="004C7270"/>
    <w:rsid w:val="004C76ED"/>
    <w:rsid w:val="004D182A"/>
    <w:rsid w:val="004D1C74"/>
    <w:rsid w:val="004E02A2"/>
    <w:rsid w:val="004E2FED"/>
    <w:rsid w:val="004E440C"/>
    <w:rsid w:val="004E44A8"/>
    <w:rsid w:val="004E68A6"/>
    <w:rsid w:val="004E7D65"/>
    <w:rsid w:val="004F12E9"/>
    <w:rsid w:val="004F1648"/>
    <w:rsid w:val="004F3050"/>
    <w:rsid w:val="004F3E83"/>
    <w:rsid w:val="00504A0A"/>
    <w:rsid w:val="00505DB1"/>
    <w:rsid w:val="00506FD5"/>
    <w:rsid w:val="00510603"/>
    <w:rsid w:val="00511E21"/>
    <w:rsid w:val="005125FD"/>
    <w:rsid w:val="005129D3"/>
    <w:rsid w:val="00514142"/>
    <w:rsid w:val="00514EF6"/>
    <w:rsid w:val="00517F5A"/>
    <w:rsid w:val="00522111"/>
    <w:rsid w:val="0052394E"/>
    <w:rsid w:val="00525AAA"/>
    <w:rsid w:val="00527BC5"/>
    <w:rsid w:val="0053124E"/>
    <w:rsid w:val="005325E6"/>
    <w:rsid w:val="00532F98"/>
    <w:rsid w:val="005340E2"/>
    <w:rsid w:val="00536A42"/>
    <w:rsid w:val="00540919"/>
    <w:rsid w:val="0054101D"/>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3DDB"/>
    <w:rsid w:val="00586A01"/>
    <w:rsid w:val="0059272B"/>
    <w:rsid w:val="005928BD"/>
    <w:rsid w:val="00592C9C"/>
    <w:rsid w:val="00594338"/>
    <w:rsid w:val="00597292"/>
    <w:rsid w:val="005978A9"/>
    <w:rsid w:val="005A0BE8"/>
    <w:rsid w:val="005A5911"/>
    <w:rsid w:val="005B6F76"/>
    <w:rsid w:val="005B72DD"/>
    <w:rsid w:val="005C557C"/>
    <w:rsid w:val="005D0627"/>
    <w:rsid w:val="005D3E9F"/>
    <w:rsid w:val="005D64C6"/>
    <w:rsid w:val="005D7605"/>
    <w:rsid w:val="005D7DF0"/>
    <w:rsid w:val="005E01B2"/>
    <w:rsid w:val="005E6B9E"/>
    <w:rsid w:val="005F3223"/>
    <w:rsid w:val="005F5406"/>
    <w:rsid w:val="00601B2F"/>
    <w:rsid w:val="006021AE"/>
    <w:rsid w:val="0060320A"/>
    <w:rsid w:val="00603642"/>
    <w:rsid w:val="00604BD3"/>
    <w:rsid w:val="0060725E"/>
    <w:rsid w:val="00612B56"/>
    <w:rsid w:val="0062177A"/>
    <w:rsid w:val="006217AE"/>
    <w:rsid w:val="006217C1"/>
    <w:rsid w:val="00621EA4"/>
    <w:rsid w:val="00622584"/>
    <w:rsid w:val="00623A23"/>
    <w:rsid w:val="00632192"/>
    <w:rsid w:val="00634D77"/>
    <w:rsid w:val="00634DBB"/>
    <w:rsid w:val="006355CD"/>
    <w:rsid w:val="00641970"/>
    <w:rsid w:val="00643F45"/>
    <w:rsid w:val="006467A4"/>
    <w:rsid w:val="00653CB7"/>
    <w:rsid w:val="0065546E"/>
    <w:rsid w:val="00655744"/>
    <w:rsid w:val="00656FF4"/>
    <w:rsid w:val="00661648"/>
    <w:rsid w:val="00661822"/>
    <w:rsid w:val="00662B92"/>
    <w:rsid w:val="0066332D"/>
    <w:rsid w:val="00664FF4"/>
    <w:rsid w:val="006655BD"/>
    <w:rsid w:val="00673A0D"/>
    <w:rsid w:val="00674DB8"/>
    <w:rsid w:val="00676230"/>
    <w:rsid w:val="00676AA4"/>
    <w:rsid w:val="00684039"/>
    <w:rsid w:val="00685722"/>
    <w:rsid w:val="00686231"/>
    <w:rsid w:val="0069242B"/>
    <w:rsid w:val="00695AE3"/>
    <w:rsid w:val="00697D82"/>
    <w:rsid w:val="006A0C74"/>
    <w:rsid w:val="006A25C4"/>
    <w:rsid w:val="006A5196"/>
    <w:rsid w:val="006B05A2"/>
    <w:rsid w:val="006B1A47"/>
    <w:rsid w:val="006B5D9E"/>
    <w:rsid w:val="006C3025"/>
    <w:rsid w:val="006D4EEF"/>
    <w:rsid w:val="006E3D9B"/>
    <w:rsid w:val="006E5BE5"/>
    <w:rsid w:val="006F332D"/>
    <w:rsid w:val="006F7DC8"/>
    <w:rsid w:val="00701889"/>
    <w:rsid w:val="007050B8"/>
    <w:rsid w:val="007053D6"/>
    <w:rsid w:val="007079E5"/>
    <w:rsid w:val="00712843"/>
    <w:rsid w:val="007158A3"/>
    <w:rsid w:val="007244EC"/>
    <w:rsid w:val="00725481"/>
    <w:rsid w:val="00725BBA"/>
    <w:rsid w:val="007314E9"/>
    <w:rsid w:val="00733D74"/>
    <w:rsid w:val="0073516B"/>
    <w:rsid w:val="007363E6"/>
    <w:rsid w:val="00736D49"/>
    <w:rsid w:val="00737529"/>
    <w:rsid w:val="0074034C"/>
    <w:rsid w:val="0074148C"/>
    <w:rsid w:val="00745C9F"/>
    <w:rsid w:val="007504E7"/>
    <w:rsid w:val="00752D99"/>
    <w:rsid w:val="00754070"/>
    <w:rsid w:val="00755B7F"/>
    <w:rsid w:val="00756182"/>
    <w:rsid w:val="00761443"/>
    <w:rsid w:val="00762A66"/>
    <w:rsid w:val="007673B3"/>
    <w:rsid w:val="00767893"/>
    <w:rsid w:val="00767CA2"/>
    <w:rsid w:val="00777282"/>
    <w:rsid w:val="0078081F"/>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2104"/>
    <w:rsid w:val="007B4A54"/>
    <w:rsid w:val="007B4C78"/>
    <w:rsid w:val="007C2F45"/>
    <w:rsid w:val="007C5533"/>
    <w:rsid w:val="007D05DE"/>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5D"/>
    <w:rsid w:val="008238E9"/>
    <w:rsid w:val="0082413F"/>
    <w:rsid w:val="00825F94"/>
    <w:rsid w:val="00834928"/>
    <w:rsid w:val="00841159"/>
    <w:rsid w:val="00845F24"/>
    <w:rsid w:val="00846C8C"/>
    <w:rsid w:val="0085433A"/>
    <w:rsid w:val="00855C8B"/>
    <w:rsid w:val="00857D78"/>
    <w:rsid w:val="00860DB1"/>
    <w:rsid w:val="00871496"/>
    <w:rsid w:val="008741A5"/>
    <w:rsid w:val="00877592"/>
    <w:rsid w:val="00877C80"/>
    <w:rsid w:val="00884AA2"/>
    <w:rsid w:val="00885C34"/>
    <w:rsid w:val="00886682"/>
    <w:rsid w:val="0088696C"/>
    <w:rsid w:val="00887FBF"/>
    <w:rsid w:val="00891589"/>
    <w:rsid w:val="00894896"/>
    <w:rsid w:val="00895712"/>
    <w:rsid w:val="008977F4"/>
    <w:rsid w:val="008A5520"/>
    <w:rsid w:val="008B53C6"/>
    <w:rsid w:val="008B5ED5"/>
    <w:rsid w:val="008C2B1D"/>
    <w:rsid w:val="008D12D9"/>
    <w:rsid w:val="008D59D3"/>
    <w:rsid w:val="008D64B2"/>
    <w:rsid w:val="008D7571"/>
    <w:rsid w:val="008D78A4"/>
    <w:rsid w:val="008E4F20"/>
    <w:rsid w:val="008E5C67"/>
    <w:rsid w:val="008E5E88"/>
    <w:rsid w:val="008F0095"/>
    <w:rsid w:val="008F3DDB"/>
    <w:rsid w:val="008F6F40"/>
    <w:rsid w:val="00900290"/>
    <w:rsid w:val="00903649"/>
    <w:rsid w:val="009037DE"/>
    <w:rsid w:val="00910F56"/>
    <w:rsid w:val="00911C13"/>
    <w:rsid w:val="00913AC6"/>
    <w:rsid w:val="00913BA0"/>
    <w:rsid w:val="0091493E"/>
    <w:rsid w:val="00920766"/>
    <w:rsid w:val="00933255"/>
    <w:rsid w:val="00934FB4"/>
    <w:rsid w:val="00935724"/>
    <w:rsid w:val="00935AFE"/>
    <w:rsid w:val="0093733C"/>
    <w:rsid w:val="00942C07"/>
    <w:rsid w:val="00942FB3"/>
    <w:rsid w:val="009462AB"/>
    <w:rsid w:val="00946374"/>
    <w:rsid w:val="00946770"/>
    <w:rsid w:val="00951C8C"/>
    <w:rsid w:val="00955EC8"/>
    <w:rsid w:val="0096010F"/>
    <w:rsid w:val="0096084A"/>
    <w:rsid w:val="00961406"/>
    <w:rsid w:val="00962429"/>
    <w:rsid w:val="00963AD9"/>
    <w:rsid w:val="00963B21"/>
    <w:rsid w:val="00965F6D"/>
    <w:rsid w:val="00970668"/>
    <w:rsid w:val="00970C78"/>
    <w:rsid w:val="00972929"/>
    <w:rsid w:val="00973E7F"/>
    <w:rsid w:val="00974EA4"/>
    <w:rsid w:val="00975C2C"/>
    <w:rsid w:val="00977CA4"/>
    <w:rsid w:val="0098071F"/>
    <w:rsid w:val="00981B3D"/>
    <w:rsid w:val="009824B6"/>
    <w:rsid w:val="00986042"/>
    <w:rsid w:val="009871F3"/>
    <w:rsid w:val="0098726B"/>
    <w:rsid w:val="00987C3B"/>
    <w:rsid w:val="00990548"/>
    <w:rsid w:val="00992550"/>
    <w:rsid w:val="00994494"/>
    <w:rsid w:val="00995AD0"/>
    <w:rsid w:val="009A25DD"/>
    <w:rsid w:val="009A306E"/>
    <w:rsid w:val="009A3B8D"/>
    <w:rsid w:val="009A3C72"/>
    <w:rsid w:val="009A671E"/>
    <w:rsid w:val="009B040B"/>
    <w:rsid w:val="009B3E4D"/>
    <w:rsid w:val="009B4459"/>
    <w:rsid w:val="009B4637"/>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6A08"/>
    <w:rsid w:val="009E7AE5"/>
    <w:rsid w:val="009F144D"/>
    <w:rsid w:val="009F1A3E"/>
    <w:rsid w:val="009F3EE6"/>
    <w:rsid w:val="009F5237"/>
    <w:rsid w:val="009F7FBD"/>
    <w:rsid w:val="00A000E2"/>
    <w:rsid w:val="00A00B59"/>
    <w:rsid w:val="00A01AE8"/>
    <w:rsid w:val="00A05A4F"/>
    <w:rsid w:val="00A062C2"/>
    <w:rsid w:val="00A119F2"/>
    <w:rsid w:val="00A128F3"/>
    <w:rsid w:val="00A130CF"/>
    <w:rsid w:val="00A23602"/>
    <w:rsid w:val="00A24624"/>
    <w:rsid w:val="00A269E5"/>
    <w:rsid w:val="00A26F8B"/>
    <w:rsid w:val="00A34731"/>
    <w:rsid w:val="00A35202"/>
    <w:rsid w:val="00A363E9"/>
    <w:rsid w:val="00A366E7"/>
    <w:rsid w:val="00A424AB"/>
    <w:rsid w:val="00A42799"/>
    <w:rsid w:val="00A42848"/>
    <w:rsid w:val="00A47AD7"/>
    <w:rsid w:val="00A500E8"/>
    <w:rsid w:val="00A50973"/>
    <w:rsid w:val="00A55511"/>
    <w:rsid w:val="00A56904"/>
    <w:rsid w:val="00A57602"/>
    <w:rsid w:val="00A57E96"/>
    <w:rsid w:val="00A60926"/>
    <w:rsid w:val="00A61372"/>
    <w:rsid w:val="00A63201"/>
    <w:rsid w:val="00A638AE"/>
    <w:rsid w:val="00A63DA9"/>
    <w:rsid w:val="00A70162"/>
    <w:rsid w:val="00A73945"/>
    <w:rsid w:val="00A75426"/>
    <w:rsid w:val="00A75D88"/>
    <w:rsid w:val="00A75E0C"/>
    <w:rsid w:val="00A760B4"/>
    <w:rsid w:val="00A81617"/>
    <w:rsid w:val="00A8476A"/>
    <w:rsid w:val="00A90CB3"/>
    <w:rsid w:val="00A923B9"/>
    <w:rsid w:val="00A94DF9"/>
    <w:rsid w:val="00A97DE1"/>
    <w:rsid w:val="00AA057E"/>
    <w:rsid w:val="00AA1D4A"/>
    <w:rsid w:val="00AA5AFA"/>
    <w:rsid w:val="00AA6272"/>
    <w:rsid w:val="00AA69D2"/>
    <w:rsid w:val="00AB026A"/>
    <w:rsid w:val="00AB104F"/>
    <w:rsid w:val="00AC3891"/>
    <w:rsid w:val="00AC4F26"/>
    <w:rsid w:val="00AC60D1"/>
    <w:rsid w:val="00AC6B27"/>
    <w:rsid w:val="00AC6B92"/>
    <w:rsid w:val="00AC74B3"/>
    <w:rsid w:val="00AC7CC7"/>
    <w:rsid w:val="00AD567B"/>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72DD6"/>
    <w:rsid w:val="00B8082C"/>
    <w:rsid w:val="00B8534F"/>
    <w:rsid w:val="00B862B7"/>
    <w:rsid w:val="00B86695"/>
    <w:rsid w:val="00B87EDA"/>
    <w:rsid w:val="00B916FB"/>
    <w:rsid w:val="00B9246A"/>
    <w:rsid w:val="00B94331"/>
    <w:rsid w:val="00B950C8"/>
    <w:rsid w:val="00BA0EFB"/>
    <w:rsid w:val="00BA5DC7"/>
    <w:rsid w:val="00BA72DA"/>
    <w:rsid w:val="00BA771A"/>
    <w:rsid w:val="00BB18DB"/>
    <w:rsid w:val="00BB23C2"/>
    <w:rsid w:val="00BB64A5"/>
    <w:rsid w:val="00BC0D1A"/>
    <w:rsid w:val="00BC1123"/>
    <w:rsid w:val="00BC1736"/>
    <w:rsid w:val="00BC232F"/>
    <w:rsid w:val="00BC307C"/>
    <w:rsid w:val="00BC495B"/>
    <w:rsid w:val="00BC528C"/>
    <w:rsid w:val="00BD5A1E"/>
    <w:rsid w:val="00BE1890"/>
    <w:rsid w:val="00BE2759"/>
    <w:rsid w:val="00BE3985"/>
    <w:rsid w:val="00BE3DF1"/>
    <w:rsid w:val="00BE40AC"/>
    <w:rsid w:val="00BF0779"/>
    <w:rsid w:val="00BF50BC"/>
    <w:rsid w:val="00C02F30"/>
    <w:rsid w:val="00C03BD4"/>
    <w:rsid w:val="00C03E09"/>
    <w:rsid w:val="00C048D7"/>
    <w:rsid w:val="00C07239"/>
    <w:rsid w:val="00C072E5"/>
    <w:rsid w:val="00C2023A"/>
    <w:rsid w:val="00C20EE1"/>
    <w:rsid w:val="00C21647"/>
    <w:rsid w:val="00C22850"/>
    <w:rsid w:val="00C26BD1"/>
    <w:rsid w:val="00C32113"/>
    <w:rsid w:val="00C336BF"/>
    <w:rsid w:val="00C40065"/>
    <w:rsid w:val="00C42094"/>
    <w:rsid w:val="00C44576"/>
    <w:rsid w:val="00C46581"/>
    <w:rsid w:val="00C5125B"/>
    <w:rsid w:val="00C516AD"/>
    <w:rsid w:val="00C53ABE"/>
    <w:rsid w:val="00C55723"/>
    <w:rsid w:val="00C5611B"/>
    <w:rsid w:val="00C565C5"/>
    <w:rsid w:val="00C61FC3"/>
    <w:rsid w:val="00C632EC"/>
    <w:rsid w:val="00C63A29"/>
    <w:rsid w:val="00C641B4"/>
    <w:rsid w:val="00C64501"/>
    <w:rsid w:val="00C67614"/>
    <w:rsid w:val="00C75C33"/>
    <w:rsid w:val="00C76CC0"/>
    <w:rsid w:val="00C84522"/>
    <w:rsid w:val="00C855EC"/>
    <w:rsid w:val="00C85862"/>
    <w:rsid w:val="00C8652A"/>
    <w:rsid w:val="00C948DC"/>
    <w:rsid w:val="00C95E54"/>
    <w:rsid w:val="00C97C68"/>
    <w:rsid w:val="00CA10D0"/>
    <w:rsid w:val="00CA11E7"/>
    <w:rsid w:val="00CA2B5E"/>
    <w:rsid w:val="00CA5DA9"/>
    <w:rsid w:val="00CA5FD2"/>
    <w:rsid w:val="00CA7120"/>
    <w:rsid w:val="00CB3061"/>
    <w:rsid w:val="00CB393C"/>
    <w:rsid w:val="00CB51CC"/>
    <w:rsid w:val="00CB6050"/>
    <w:rsid w:val="00CC05AF"/>
    <w:rsid w:val="00CC172C"/>
    <w:rsid w:val="00CC1972"/>
    <w:rsid w:val="00CC5E11"/>
    <w:rsid w:val="00CD0864"/>
    <w:rsid w:val="00CD3242"/>
    <w:rsid w:val="00CD6D11"/>
    <w:rsid w:val="00CD71EC"/>
    <w:rsid w:val="00CE0788"/>
    <w:rsid w:val="00CE38FB"/>
    <w:rsid w:val="00CE3FE2"/>
    <w:rsid w:val="00CE4785"/>
    <w:rsid w:val="00CE5A1F"/>
    <w:rsid w:val="00CE5CC9"/>
    <w:rsid w:val="00CE6ECF"/>
    <w:rsid w:val="00CE7D48"/>
    <w:rsid w:val="00CF499F"/>
    <w:rsid w:val="00D026EC"/>
    <w:rsid w:val="00D03DFA"/>
    <w:rsid w:val="00D06827"/>
    <w:rsid w:val="00D073EC"/>
    <w:rsid w:val="00D1368F"/>
    <w:rsid w:val="00D13CBE"/>
    <w:rsid w:val="00D21807"/>
    <w:rsid w:val="00D34A15"/>
    <w:rsid w:val="00D357A5"/>
    <w:rsid w:val="00D37238"/>
    <w:rsid w:val="00D40A43"/>
    <w:rsid w:val="00D4297C"/>
    <w:rsid w:val="00D45813"/>
    <w:rsid w:val="00D51C37"/>
    <w:rsid w:val="00D56C4D"/>
    <w:rsid w:val="00D60642"/>
    <w:rsid w:val="00D60C44"/>
    <w:rsid w:val="00D6102C"/>
    <w:rsid w:val="00D61298"/>
    <w:rsid w:val="00D62E25"/>
    <w:rsid w:val="00D63897"/>
    <w:rsid w:val="00D7407C"/>
    <w:rsid w:val="00D741E2"/>
    <w:rsid w:val="00D74A2D"/>
    <w:rsid w:val="00D763BD"/>
    <w:rsid w:val="00D776EA"/>
    <w:rsid w:val="00D81933"/>
    <w:rsid w:val="00D82B21"/>
    <w:rsid w:val="00D855D3"/>
    <w:rsid w:val="00D9091B"/>
    <w:rsid w:val="00D923BF"/>
    <w:rsid w:val="00D94533"/>
    <w:rsid w:val="00D958D0"/>
    <w:rsid w:val="00D97B46"/>
    <w:rsid w:val="00DA6439"/>
    <w:rsid w:val="00DA7414"/>
    <w:rsid w:val="00DB59EE"/>
    <w:rsid w:val="00DB6549"/>
    <w:rsid w:val="00DB725C"/>
    <w:rsid w:val="00DC052B"/>
    <w:rsid w:val="00DC1103"/>
    <w:rsid w:val="00DC1978"/>
    <w:rsid w:val="00DC5E05"/>
    <w:rsid w:val="00DD25DF"/>
    <w:rsid w:val="00DD3052"/>
    <w:rsid w:val="00DD542A"/>
    <w:rsid w:val="00DE1BF4"/>
    <w:rsid w:val="00DE241B"/>
    <w:rsid w:val="00DE30E1"/>
    <w:rsid w:val="00DE50D7"/>
    <w:rsid w:val="00DE62A0"/>
    <w:rsid w:val="00DF30C1"/>
    <w:rsid w:val="00DF30C4"/>
    <w:rsid w:val="00DF4783"/>
    <w:rsid w:val="00DF4FF7"/>
    <w:rsid w:val="00DF6901"/>
    <w:rsid w:val="00DF6BB0"/>
    <w:rsid w:val="00DF6C12"/>
    <w:rsid w:val="00E003C1"/>
    <w:rsid w:val="00E0042C"/>
    <w:rsid w:val="00E01A13"/>
    <w:rsid w:val="00E01FE0"/>
    <w:rsid w:val="00E031B7"/>
    <w:rsid w:val="00E03633"/>
    <w:rsid w:val="00E05E34"/>
    <w:rsid w:val="00E0685C"/>
    <w:rsid w:val="00E076F7"/>
    <w:rsid w:val="00E102F2"/>
    <w:rsid w:val="00E10467"/>
    <w:rsid w:val="00E1094F"/>
    <w:rsid w:val="00E11905"/>
    <w:rsid w:val="00E13A20"/>
    <w:rsid w:val="00E20FC2"/>
    <w:rsid w:val="00E21BE0"/>
    <w:rsid w:val="00E31C0A"/>
    <w:rsid w:val="00E32166"/>
    <w:rsid w:val="00E3370C"/>
    <w:rsid w:val="00E3439C"/>
    <w:rsid w:val="00E40DC8"/>
    <w:rsid w:val="00E452A1"/>
    <w:rsid w:val="00E46C47"/>
    <w:rsid w:val="00E51289"/>
    <w:rsid w:val="00E54784"/>
    <w:rsid w:val="00E54F19"/>
    <w:rsid w:val="00E55AF5"/>
    <w:rsid w:val="00E55DEA"/>
    <w:rsid w:val="00E57F03"/>
    <w:rsid w:val="00E57F79"/>
    <w:rsid w:val="00E60570"/>
    <w:rsid w:val="00E60919"/>
    <w:rsid w:val="00E62CE4"/>
    <w:rsid w:val="00E65E3B"/>
    <w:rsid w:val="00E669BF"/>
    <w:rsid w:val="00E66CE9"/>
    <w:rsid w:val="00E7152C"/>
    <w:rsid w:val="00E72C7E"/>
    <w:rsid w:val="00E75677"/>
    <w:rsid w:val="00E82877"/>
    <w:rsid w:val="00E833CF"/>
    <w:rsid w:val="00E83FC9"/>
    <w:rsid w:val="00E8730E"/>
    <w:rsid w:val="00E91F47"/>
    <w:rsid w:val="00E92261"/>
    <w:rsid w:val="00E9641D"/>
    <w:rsid w:val="00E96E0E"/>
    <w:rsid w:val="00EA31BB"/>
    <w:rsid w:val="00EA4F10"/>
    <w:rsid w:val="00EB01A2"/>
    <w:rsid w:val="00EB0462"/>
    <w:rsid w:val="00EB11E1"/>
    <w:rsid w:val="00EB1482"/>
    <w:rsid w:val="00EB3D17"/>
    <w:rsid w:val="00EC1DF6"/>
    <w:rsid w:val="00EC4020"/>
    <w:rsid w:val="00ED010E"/>
    <w:rsid w:val="00ED7409"/>
    <w:rsid w:val="00EE0437"/>
    <w:rsid w:val="00EE0D68"/>
    <w:rsid w:val="00EF14E0"/>
    <w:rsid w:val="00EF45CF"/>
    <w:rsid w:val="00F00EA8"/>
    <w:rsid w:val="00F02864"/>
    <w:rsid w:val="00F0308E"/>
    <w:rsid w:val="00F04962"/>
    <w:rsid w:val="00F076D6"/>
    <w:rsid w:val="00F078D8"/>
    <w:rsid w:val="00F137EB"/>
    <w:rsid w:val="00F216FB"/>
    <w:rsid w:val="00F22156"/>
    <w:rsid w:val="00F22197"/>
    <w:rsid w:val="00F22302"/>
    <w:rsid w:val="00F24122"/>
    <w:rsid w:val="00F312B0"/>
    <w:rsid w:val="00F322C9"/>
    <w:rsid w:val="00F35138"/>
    <w:rsid w:val="00F35C3D"/>
    <w:rsid w:val="00F42114"/>
    <w:rsid w:val="00F42CAE"/>
    <w:rsid w:val="00F51B8D"/>
    <w:rsid w:val="00F548B1"/>
    <w:rsid w:val="00F55B4E"/>
    <w:rsid w:val="00F5656E"/>
    <w:rsid w:val="00F707E8"/>
    <w:rsid w:val="00F7200C"/>
    <w:rsid w:val="00F8599D"/>
    <w:rsid w:val="00F905B2"/>
    <w:rsid w:val="00F93CEB"/>
    <w:rsid w:val="00F96A29"/>
    <w:rsid w:val="00FA55BA"/>
    <w:rsid w:val="00FB3376"/>
    <w:rsid w:val="00FB47C6"/>
    <w:rsid w:val="00FC3285"/>
    <w:rsid w:val="00FC49DF"/>
    <w:rsid w:val="00FC51AE"/>
    <w:rsid w:val="00FD313E"/>
    <w:rsid w:val="00FD44F1"/>
    <w:rsid w:val="00FD5953"/>
    <w:rsid w:val="00FD5F09"/>
    <w:rsid w:val="00FD7EEF"/>
    <w:rsid w:val="00FE1E75"/>
    <w:rsid w:val="00FE28DD"/>
    <w:rsid w:val="00FE3617"/>
    <w:rsid w:val="00FE69C2"/>
    <w:rsid w:val="00FF188F"/>
    <w:rsid w:val="00FF3C02"/>
    <w:rsid w:val="00FF41BB"/>
    <w:rsid w:val="00FF5CCB"/>
    <w:rsid w:val="00FF755B"/>
    <w:rsid w:val="01A6474F"/>
    <w:rsid w:val="01A71FD9"/>
    <w:rsid w:val="04546D50"/>
    <w:rsid w:val="04AD6080"/>
    <w:rsid w:val="052059BA"/>
    <w:rsid w:val="05215853"/>
    <w:rsid w:val="059F358C"/>
    <w:rsid w:val="06B733F6"/>
    <w:rsid w:val="07371C64"/>
    <w:rsid w:val="080261BB"/>
    <w:rsid w:val="08BB5227"/>
    <w:rsid w:val="08E458C1"/>
    <w:rsid w:val="09861EDB"/>
    <w:rsid w:val="09BF7C59"/>
    <w:rsid w:val="0A0F2E11"/>
    <w:rsid w:val="0B0C73F9"/>
    <w:rsid w:val="0BD11B63"/>
    <w:rsid w:val="0C242202"/>
    <w:rsid w:val="0C4F5747"/>
    <w:rsid w:val="0D6D7505"/>
    <w:rsid w:val="0D9A2344"/>
    <w:rsid w:val="0F625F8C"/>
    <w:rsid w:val="0F6D292E"/>
    <w:rsid w:val="10122088"/>
    <w:rsid w:val="10CD3F4E"/>
    <w:rsid w:val="10FE0A4D"/>
    <w:rsid w:val="116827CD"/>
    <w:rsid w:val="11D129A2"/>
    <w:rsid w:val="12DC1163"/>
    <w:rsid w:val="14220929"/>
    <w:rsid w:val="1466786F"/>
    <w:rsid w:val="15224034"/>
    <w:rsid w:val="15A479D9"/>
    <w:rsid w:val="15C747E0"/>
    <w:rsid w:val="164D719B"/>
    <w:rsid w:val="19420317"/>
    <w:rsid w:val="19851536"/>
    <w:rsid w:val="19F4796B"/>
    <w:rsid w:val="1A560966"/>
    <w:rsid w:val="1AC437A4"/>
    <w:rsid w:val="1AD12D9C"/>
    <w:rsid w:val="1B7A3E63"/>
    <w:rsid w:val="1D523D17"/>
    <w:rsid w:val="1D571223"/>
    <w:rsid w:val="1F070103"/>
    <w:rsid w:val="1F65384D"/>
    <w:rsid w:val="204D5FEA"/>
    <w:rsid w:val="20857665"/>
    <w:rsid w:val="20ED750D"/>
    <w:rsid w:val="227C10BC"/>
    <w:rsid w:val="229B317B"/>
    <w:rsid w:val="23142C78"/>
    <w:rsid w:val="24AF24A7"/>
    <w:rsid w:val="2599786D"/>
    <w:rsid w:val="25C767B2"/>
    <w:rsid w:val="25E119D8"/>
    <w:rsid w:val="281D715E"/>
    <w:rsid w:val="29125E4D"/>
    <w:rsid w:val="291B4ED7"/>
    <w:rsid w:val="294143DB"/>
    <w:rsid w:val="2A104310"/>
    <w:rsid w:val="2A4C4E0D"/>
    <w:rsid w:val="2A681362"/>
    <w:rsid w:val="2B3D7387"/>
    <w:rsid w:val="2B820819"/>
    <w:rsid w:val="2BA03472"/>
    <w:rsid w:val="2C244DF9"/>
    <w:rsid w:val="2CD143D4"/>
    <w:rsid w:val="2E277E7A"/>
    <w:rsid w:val="2EA15B44"/>
    <w:rsid w:val="2EB86A27"/>
    <w:rsid w:val="2F290A9C"/>
    <w:rsid w:val="2FA5374C"/>
    <w:rsid w:val="32702835"/>
    <w:rsid w:val="32FC3910"/>
    <w:rsid w:val="33535D17"/>
    <w:rsid w:val="344749A4"/>
    <w:rsid w:val="349E7B29"/>
    <w:rsid w:val="35FF45B2"/>
    <w:rsid w:val="36274EB7"/>
    <w:rsid w:val="36760E7C"/>
    <w:rsid w:val="373B1CC5"/>
    <w:rsid w:val="37B2341F"/>
    <w:rsid w:val="37BF0DEA"/>
    <w:rsid w:val="39156E88"/>
    <w:rsid w:val="3B4B314F"/>
    <w:rsid w:val="3CB41D7B"/>
    <w:rsid w:val="3E0166B6"/>
    <w:rsid w:val="3E795BF9"/>
    <w:rsid w:val="3ED612E5"/>
    <w:rsid w:val="403346EC"/>
    <w:rsid w:val="404C4953"/>
    <w:rsid w:val="4056170E"/>
    <w:rsid w:val="419158DF"/>
    <w:rsid w:val="419A4400"/>
    <w:rsid w:val="41CC2DBB"/>
    <w:rsid w:val="420605A3"/>
    <w:rsid w:val="42C26572"/>
    <w:rsid w:val="436D126E"/>
    <w:rsid w:val="44A8366B"/>
    <w:rsid w:val="4533347E"/>
    <w:rsid w:val="45DA0EEC"/>
    <w:rsid w:val="462B1998"/>
    <w:rsid w:val="47555307"/>
    <w:rsid w:val="47E50732"/>
    <w:rsid w:val="485001EE"/>
    <w:rsid w:val="485E6681"/>
    <w:rsid w:val="48C26AA4"/>
    <w:rsid w:val="49833028"/>
    <w:rsid w:val="4B7E1738"/>
    <w:rsid w:val="4B832714"/>
    <w:rsid w:val="4BF03D43"/>
    <w:rsid w:val="4DD34263"/>
    <w:rsid w:val="4E0833CC"/>
    <w:rsid w:val="4F211AE6"/>
    <w:rsid w:val="501D438F"/>
    <w:rsid w:val="51917235"/>
    <w:rsid w:val="51EB3792"/>
    <w:rsid w:val="51F72E20"/>
    <w:rsid w:val="52770B21"/>
    <w:rsid w:val="5316742D"/>
    <w:rsid w:val="534D59E4"/>
    <w:rsid w:val="54493DF7"/>
    <w:rsid w:val="55B15E40"/>
    <w:rsid w:val="578C73EE"/>
    <w:rsid w:val="582D1B39"/>
    <w:rsid w:val="59B54B6C"/>
    <w:rsid w:val="5A321EAE"/>
    <w:rsid w:val="5BEC57F1"/>
    <w:rsid w:val="5C4F18A5"/>
    <w:rsid w:val="5C6A7000"/>
    <w:rsid w:val="5CD73A78"/>
    <w:rsid w:val="5D0E3E30"/>
    <w:rsid w:val="5F64242D"/>
    <w:rsid w:val="5FCC0564"/>
    <w:rsid w:val="5FE9765C"/>
    <w:rsid w:val="6037544B"/>
    <w:rsid w:val="609D4B8E"/>
    <w:rsid w:val="61005E6D"/>
    <w:rsid w:val="619927F4"/>
    <w:rsid w:val="62691278"/>
    <w:rsid w:val="639E7930"/>
    <w:rsid w:val="649935A9"/>
    <w:rsid w:val="658E3CF3"/>
    <w:rsid w:val="65BD63F3"/>
    <w:rsid w:val="65D54A1B"/>
    <w:rsid w:val="661B424C"/>
    <w:rsid w:val="66842C9B"/>
    <w:rsid w:val="68615F0F"/>
    <w:rsid w:val="68B71750"/>
    <w:rsid w:val="692A0243"/>
    <w:rsid w:val="6AA92256"/>
    <w:rsid w:val="6ADE5D89"/>
    <w:rsid w:val="6B807797"/>
    <w:rsid w:val="6C74516C"/>
    <w:rsid w:val="6DA12C37"/>
    <w:rsid w:val="6DFD69EA"/>
    <w:rsid w:val="6E692742"/>
    <w:rsid w:val="6F7E44D5"/>
    <w:rsid w:val="6F8F0DA8"/>
    <w:rsid w:val="71B8714E"/>
    <w:rsid w:val="73154790"/>
    <w:rsid w:val="75243D99"/>
    <w:rsid w:val="76130170"/>
    <w:rsid w:val="776F59CC"/>
    <w:rsid w:val="77C76754"/>
    <w:rsid w:val="77CE4490"/>
    <w:rsid w:val="780B7006"/>
    <w:rsid w:val="786D1381"/>
    <w:rsid w:val="78EF7A9B"/>
    <w:rsid w:val="79DE5637"/>
    <w:rsid w:val="7A3642F9"/>
    <w:rsid w:val="7B234AF2"/>
    <w:rsid w:val="7BAE78E8"/>
    <w:rsid w:val="7BFF730D"/>
    <w:rsid w:val="7D767D8A"/>
    <w:rsid w:val="7D9F4BB1"/>
    <w:rsid w:val="7E3F09D6"/>
    <w:rsid w:val="7F2A46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华文中宋" w:cs="Times New Roman"/>
      <w:kern w:val="2"/>
      <w:sz w:val="24"/>
      <w:lang w:val="en-US" w:eastAsia="zh-CN" w:bidi="ar-SA"/>
    </w:rPr>
  </w:style>
  <w:style w:type="paragraph" w:styleId="4">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5">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6">
    <w:name w:val="heading 3"/>
    <w:basedOn w:val="1"/>
    <w:next w:val="1"/>
    <w:link w:val="59"/>
    <w:qFormat/>
    <w:uiPriority w:val="0"/>
    <w:pPr>
      <w:keepNext/>
      <w:keepLines/>
      <w:spacing w:before="260" w:after="260" w:line="413" w:lineRule="auto"/>
      <w:outlineLvl w:val="2"/>
    </w:pPr>
    <w:rPr>
      <w:b/>
      <w:sz w:val="32"/>
    </w:rPr>
  </w:style>
  <w:style w:type="paragraph" w:styleId="7">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8">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9">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10">
    <w:name w:val="heading 7"/>
    <w:basedOn w:val="1"/>
    <w:next w:val="1"/>
    <w:link w:val="61"/>
    <w:qFormat/>
    <w:uiPriority w:val="0"/>
    <w:pPr>
      <w:keepNext/>
      <w:keepLines/>
      <w:spacing w:before="240" w:after="64" w:line="317" w:lineRule="auto"/>
      <w:outlineLvl w:val="6"/>
    </w:pPr>
    <w:rPr>
      <w:rFonts w:eastAsia="宋体"/>
      <w:b/>
    </w:rPr>
  </w:style>
  <w:style w:type="paragraph" w:styleId="11">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2">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styleId="2">
    <w:name w:val="Body Text First Indent"/>
    <w:basedOn w:val="3"/>
    <w:link w:val="106"/>
    <w:qFormat/>
    <w:uiPriority w:val="0"/>
    <w:pPr>
      <w:snapToGrid/>
      <w:spacing w:before="0"/>
      <w:ind w:firstLine="420" w:firstLineChars="100"/>
    </w:pPr>
    <w:rPr>
      <w:rFonts w:ascii="Times New Roman" w:hAnsi="Times New Roman"/>
      <w:szCs w:val="24"/>
    </w:rPr>
  </w:style>
  <w:style w:type="paragraph" w:styleId="3">
    <w:name w:val="Body Text"/>
    <w:basedOn w:val="1"/>
    <w:link w:val="79"/>
    <w:qFormat/>
    <w:uiPriority w:val="0"/>
    <w:pPr>
      <w:snapToGrid w:val="0"/>
      <w:spacing w:before="120" w:after="120" w:line="360" w:lineRule="auto"/>
    </w:pPr>
    <w:rPr>
      <w:rFonts w:ascii="宋体" w:hAnsi="宋体" w:eastAsia="宋体"/>
    </w:rPr>
  </w:style>
  <w:style w:type="paragraph" w:styleId="13">
    <w:name w:val="List 3"/>
    <w:basedOn w:val="1"/>
    <w:qFormat/>
    <w:uiPriority w:val="0"/>
    <w:pPr>
      <w:ind w:left="100" w:leftChars="400" w:hanging="200" w:hangingChars="200"/>
      <w:contextualSpacing/>
    </w:pPr>
  </w:style>
  <w:style w:type="paragraph" w:styleId="14">
    <w:name w:val="toc 7"/>
    <w:basedOn w:val="1"/>
    <w:next w:val="1"/>
    <w:qFormat/>
    <w:uiPriority w:val="39"/>
    <w:pPr>
      <w:ind w:left="1440"/>
      <w:jc w:val="left"/>
    </w:pPr>
    <w:rPr>
      <w:sz w:val="18"/>
    </w:rPr>
  </w:style>
  <w:style w:type="paragraph" w:styleId="15">
    <w:name w:val="Normal Indent"/>
    <w:basedOn w:val="1"/>
    <w:qFormat/>
    <w:uiPriority w:val="0"/>
    <w:pPr>
      <w:ind w:firstLine="420"/>
    </w:pPr>
    <w:rPr>
      <w:rFonts w:eastAsia="宋体"/>
      <w:sz w:val="21"/>
    </w:rPr>
  </w:style>
  <w:style w:type="paragraph" w:styleId="16">
    <w:name w:val="caption"/>
    <w:basedOn w:val="1"/>
    <w:next w:val="1"/>
    <w:qFormat/>
    <w:uiPriority w:val="0"/>
    <w:pPr>
      <w:tabs>
        <w:tab w:val="left" w:pos="1560"/>
      </w:tabs>
      <w:spacing w:line="560" w:lineRule="exact"/>
    </w:pPr>
    <w:rPr>
      <w:rFonts w:ascii="宋体" w:hAnsi="宋体" w:eastAsia="宋体"/>
      <w:b/>
    </w:rPr>
  </w:style>
  <w:style w:type="paragraph" w:styleId="17">
    <w:name w:val="Document Map"/>
    <w:basedOn w:val="1"/>
    <w:link w:val="82"/>
    <w:qFormat/>
    <w:uiPriority w:val="0"/>
    <w:pPr>
      <w:shd w:val="clear" w:color="auto" w:fill="000080"/>
    </w:pPr>
  </w:style>
  <w:style w:type="paragraph" w:styleId="18">
    <w:name w:val="annotation text"/>
    <w:basedOn w:val="1"/>
    <w:link w:val="76"/>
    <w:qFormat/>
    <w:uiPriority w:val="0"/>
    <w:pPr>
      <w:jc w:val="left"/>
    </w:pPr>
    <w:rPr>
      <w:rFonts w:eastAsia="宋体"/>
      <w:sz w:val="21"/>
    </w:rPr>
  </w:style>
  <w:style w:type="paragraph" w:styleId="19">
    <w:name w:val="Body Text 3"/>
    <w:basedOn w:val="1"/>
    <w:link w:val="87"/>
    <w:qFormat/>
    <w:uiPriority w:val="0"/>
    <w:pPr>
      <w:spacing w:after="120"/>
    </w:pPr>
    <w:rPr>
      <w:sz w:val="16"/>
      <w:szCs w:val="16"/>
    </w:rPr>
  </w:style>
  <w:style w:type="paragraph" w:styleId="20">
    <w:name w:val="Body Text Indent"/>
    <w:basedOn w:val="1"/>
    <w:link w:val="67"/>
    <w:qFormat/>
    <w:uiPriority w:val="0"/>
    <w:pPr>
      <w:widowControl/>
      <w:ind w:firstLine="560" w:firstLineChars="200"/>
    </w:pPr>
    <w:rPr>
      <w:rFonts w:ascii="楷体_GB2312" w:eastAsia="楷体_GB2312"/>
      <w:sz w:val="28"/>
    </w:rPr>
  </w:style>
  <w:style w:type="paragraph" w:styleId="21">
    <w:name w:val="List 2"/>
    <w:basedOn w:val="1"/>
    <w:qFormat/>
    <w:uiPriority w:val="0"/>
    <w:pPr>
      <w:ind w:left="100" w:leftChars="200" w:hanging="200" w:hangingChars="200"/>
      <w:contextualSpacing/>
    </w:pPr>
  </w:style>
  <w:style w:type="paragraph" w:styleId="22">
    <w:name w:val="Block Text"/>
    <w:basedOn w:val="1"/>
    <w:qFormat/>
    <w:uiPriority w:val="0"/>
    <w:pPr>
      <w:spacing w:line="360" w:lineRule="auto"/>
      <w:ind w:left="564" w:right="26"/>
    </w:pPr>
    <w:rPr>
      <w:rFonts w:ascii="宋体" w:eastAsia="宋体"/>
      <w:color w:val="000000"/>
      <w:sz w:val="21"/>
    </w:rPr>
  </w:style>
  <w:style w:type="paragraph" w:styleId="23">
    <w:name w:val="toc 5"/>
    <w:basedOn w:val="1"/>
    <w:next w:val="1"/>
    <w:qFormat/>
    <w:uiPriority w:val="39"/>
    <w:pPr>
      <w:ind w:left="960"/>
      <w:jc w:val="left"/>
    </w:pPr>
    <w:rPr>
      <w:sz w:val="18"/>
    </w:rPr>
  </w:style>
  <w:style w:type="paragraph" w:styleId="24">
    <w:name w:val="toc 3"/>
    <w:basedOn w:val="1"/>
    <w:next w:val="1"/>
    <w:qFormat/>
    <w:uiPriority w:val="39"/>
    <w:pPr>
      <w:ind w:left="480"/>
      <w:jc w:val="left"/>
    </w:pPr>
    <w:rPr>
      <w:i/>
      <w:sz w:val="20"/>
    </w:rPr>
  </w:style>
  <w:style w:type="paragraph" w:styleId="25">
    <w:name w:val="Plain Text"/>
    <w:basedOn w:val="1"/>
    <w:link w:val="80"/>
    <w:qFormat/>
    <w:uiPriority w:val="0"/>
    <w:rPr>
      <w:rFonts w:ascii="宋体" w:hAnsi="Courier New" w:eastAsia="宋体"/>
      <w:sz w:val="21"/>
    </w:rPr>
  </w:style>
  <w:style w:type="paragraph" w:styleId="26">
    <w:name w:val="toc 8"/>
    <w:basedOn w:val="1"/>
    <w:next w:val="1"/>
    <w:qFormat/>
    <w:uiPriority w:val="39"/>
    <w:pPr>
      <w:ind w:left="1680"/>
      <w:jc w:val="left"/>
    </w:pPr>
    <w:rPr>
      <w:sz w:val="18"/>
    </w:rPr>
  </w:style>
  <w:style w:type="paragraph" w:styleId="27">
    <w:name w:val="index 3"/>
    <w:basedOn w:val="1"/>
    <w:next w:val="1"/>
    <w:qFormat/>
    <w:uiPriority w:val="0"/>
    <w:pPr>
      <w:ind w:left="400" w:leftChars="400"/>
    </w:pPr>
  </w:style>
  <w:style w:type="paragraph" w:styleId="28">
    <w:name w:val="Date"/>
    <w:basedOn w:val="1"/>
    <w:next w:val="1"/>
    <w:link w:val="62"/>
    <w:qFormat/>
    <w:uiPriority w:val="0"/>
    <w:rPr>
      <w:rFonts w:eastAsia="宋体" w:asciiTheme="minorHAnsi" w:hAnsiTheme="minorHAnsi" w:cstheme="minorBidi"/>
      <w:sz w:val="21"/>
      <w:szCs w:val="22"/>
    </w:rPr>
  </w:style>
  <w:style w:type="paragraph" w:styleId="29">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30">
    <w:name w:val="Balloon Text"/>
    <w:basedOn w:val="1"/>
    <w:link w:val="73"/>
    <w:qFormat/>
    <w:uiPriority w:val="99"/>
    <w:rPr>
      <w:sz w:val="18"/>
    </w:rPr>
  </w:style>
  <w:style w:type="paragraph" w:styleId="31">
    <w:name w:val="footer"/>
    <w:basedOn w:val="1"/>
    <w:link w:val="68"/>
    <w:qFormat/>
    <w:uiPriority w:val="0"/>
    <w:pPr>
      <w:tabs>
        <w:tab w:val="center" w:pos="4153"/>
        <w:tab w:val="right" w:pos="8306"/>
      </w:tabs>
      <w:snapToGrid w:val="0"/>
      <w:jc w:val="left"/>
    </w:pPr>
    <w:rPr>
      <w:sz w:val="18"/>
    </w:rPr>
  </w:style>
  <w:style w:type="paragraph" w:styleId="32">
    <w:name w:val="envelope return"/>
    <w:basedOn w:val="1"/>
    <w:qFormat/>
    <w:uiPriority w:val="0"/>
    <w:pPr>
      <w:widowControl/>
      <w:jc w:val="left"/>
    </w:pPr>
    <w:rPr>
      <w:rFonts w:ascii="Garamond" w:hAnsi="Garamond" w:eastAsia="宋体"/>
      <w:kern w:val="0"/>
      <w:sz w:val="22"/>
    </w:rPr>
  </w:style>
  <w:style w:type="paragraph" w:styleId="33">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4">
    <w:name w:val="toc 1"/>
    <w:basedOn w:val="1"/>
    <w:next w:val="1"/>
    <w:qFormat/>
    <w:uiPriority w:val="39"/>
    <w:pPr>
      <w:spacing w:before="120" w:after="120"/>
      <w:jc w:val="left"/>
    </w:pPr>
    <w:rPr>
      <w:b/>
      <w:caps/>
      <w:sz w:val="20"/>
    </w:rPr>
  </w:style>
  <w:style w:type="paragraph" w:styleId="35">
    <w:name w:val="toc 4"/>
    <w:basedOn w:val="1"/>
    <w:next w:val="1"/>
    <w:qFormat/>
    <w:uiPriority w:val="39"/>
    <w:pPr>
      <w:ind w:left="720"/>
      <w:jc w:val="left"/>
    </w:pPr>
    <w:rPr>
      <w:sz w:val="18"/>
    </w:rPr>
  </w:style>
  <w:style w:type="paragraph" w:styleId="36">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7">
    <w:name w:val="toc 6"/>
    <w:basedOn w:val="1"/>
    <w:next w:val="1"/>
    <w:qFormat/>
    <w:uiPriority w:val="39"/>
    <w:pPr>
      <w:ind w:left="1200"/>
      <w:jc w:val="left"/>
    </w:pPr>
    <w:rPr>
      <w:sz w:val="18"/>
    </w:rPr>
  </w:style>
  <w:style w:type="paragraph" w:styleId="38">
    <w:name w:val="List 5"/>
    <w:basedOn w:val="1"/>
    <w:qFormat/>
    <w:uiPriority w:val="0"/>
    <w:pPr>
      <w:ind w:left="2100" w:hanging="420"/>
    </w:pPr>
    <w:rPr>
      <w:rFonts w:eastAsia="宋体"/>
      <w:sz w:val="21"/>
    </w:rPr>
  </w:style>
  <w:style w:type="paragraph" w:styleId="39">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40">
    <w:name w:val="toc 2"/>
    <w:basedOn w:val="1"/>
    <w:next w:val="1"/>
    <w:qFormat/>
    <w:uiPriority w:val="39"/>
    <w:pPr>
      <w:ind w:left="240"/>
      <w:jc w:val="left"/>
    </w:pPr>
    <w:rPr>
      <w:smallCaps/>
      <w:sz w:val="20"/>
    </w:rPr>
  </w:style>
  <w:style w:type="paragraph" w:styleId="41">
    <w:name w:val="toc 9"/>
    <w:basedOn w:val="1"/>
    <w:next w:val="1"/>
    <w:qFormat/>
    <w:uiPriority w:val="39"/>
    <w:pPr>
      <w:ind w:left="1920"/>
      <w:jc w:val="left"/>
    </w:pPr>
    <w:rPr>
      <w:sz w:val="18"/>
    </w:rPr>
  </w:style>
  <w:style w:type="paragraph" w:styleId="42">
    <w:name w:val="Body Text 2"/>
    <w:basedOn w:val="1"/>
    <w:link w:val="77"/>
    <w:qFormat/>
    <w:uiPriority w:val="0"/>
    <w:pPr>
      <w:snapToGrid w:val="0"/>
      <w:spacing w:before="120" w:after="120"/>
    </w:pPr>
    <w:rPr>
      <w:rFonts w:ascii="宋体" w:eastAsia="宋体"/>
    </w:rPr>
  </w:style>
  <w:style w:type="paragraph" w:styleId="43">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4">
    <w:name w:val="index 1"/>
    <w:basedOn w:val="1"/>
    <w:next w:val="1"/>
    <w:qFormat/>
    <w:uiPriority w:val="0"/>
  </w:style>
  <w:style w:type="paragraph" w:styleId="45">
    <w:name w:val="index 2"/>
    <w:basedOn w:val="1"/>
    <w:next w:val="1"/>
    <w:qFormat/>
    <w:uiPriority w:val="0"/>
    <w:pPr>
      <w:ind w:left="200" w:leftChars="200"/>
    </w:pPr>
  </w:style>
  <w:style w:type="paragraph" w:styleId="46">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7">
    <w:name w:val="annotation subject"/>
    <w:basedOn w:val="18"/>
    <w:next w:val="18"/>
    <w:link w:val="98"/>
    <w:qFormat/>
    <w:uiPriority w:val="0"/>
    <w:rPr>
      <w:rFonts w:eastAsia="华文中宋"/>
      <w:b/>
      <w:bCs/>
      <w:sz w:val="24"/>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字符"/>
    <w:basedOn w:val="50"/>
    <w:link w:val="4"/>
    <w:qFormat/>
    <w:uiPriority w:val="0"/>
    <w:rPr>
      <w:rFonts w:ascii="华文中宋" w:hAnsi="华文中宋" w:eastAsia="华文中宋" w:cs="Times New Roman"/>
      <w:b/>
      <w:snapToGrid w:val="0"/>
      <w:kern w:val="0"/>
      <w:sz w:val="30"/>
      <w:szCs w:val="20"/>
    </w:rPr>
  </w:style>
  <w:style w:type="character" w:customStyle="1" w:styleId="58">
    <w:name w:val="标题 2 字符"/>
    <w:basedOn w:val="50"/>
    <w:link w:val="5"/>
    <w:qFormat/>
    <w:uiPriority w:val="0"/>
    <w:rPr>
      <w:rFonts w:ascii="Arial" w:hAnsi="Arial" w:eastAsia="宋体" w:cs="Times New Roman"/>
      <w:b/>
      <w:sz w:val="28"/>
      <w:szCs w:val="20"/>
    </w:rPr>
  </w:style>
  <w:style w:type="character" w:customStyle="1" w:styleId="59">
    <w:name w:val="标题 3 字符"/>
    <w:basedOn w:val="50"/>
    <w:link w:val="6"/>
    <w:qFormat/>
    <w:uiPriority w:val="0"/>
    <w:rPr>
      <w:rFonts w:ascii="Times New Roman" w:hAnsi="Times New Roman" w:eastAsia="华文中宋" w:cs="Times New Roman"/>
      <w:b/>
      <w:sz w:val="32"/>
      <w:szCs w:val="20"/>
    </w:rPr>
  </w:style>
  <w:style w:type="character" w:customStyle="1" w:styleId="60">
    <w:name w:val="标题 5 字符"/>
    <w:basedOn w:val="50"/>
    <w:link w:val="8"/>
    <w:qFormat/>
    <w:uiPriority w:val="0"/>
    <w:rPr>
      <w:rFonts w:ascii="宋体" w:hAnsi="Times New Roman" w:eastAsia="宋体" w:cs="Times New Roman"/>
      <w:b/>
      <w:bCs/>
      <w:kern w:val="0"/>
      <w:sz w:val="28"/>
      <w:szCs w:val="28"/>
    </w:rPr>
  </w:style>
  <w:style w:type="character" w:customStyle="1" w:styleId="61">
    <w:name w:val="标题 7 字符"/>
    <w:basedOn w:val="50"/>
    <w:link w:val="10"/>
    <w:qFormat/>
    <w:uiPriority w:val="0"/>
    <w:rPr>
      <w:rFonts w:ascii="Times New Roman" w:hAnsi="Times New Roman" w:eastAsia="宋体" w:cs="Times New Roman"/>
      <w:b/>
      <w:sz w:val="24"/>
      <w:szCs w:val="20"/>
    </w:rPr>
  </w:style>
  <w:style w:type="character" w:customStyle="1" w:styleId="62">
    <w:name w:val="日期 字符"/>
    <w:link w:val="28"/>
    <w:qFormat/>
    <w:uiPriority w:val="0"/>
    <w:rPr>
      <w:rFonts w:eastAsia="宋体"/>
    </w:rPr>
  </w:style>
  <w:style w:type="character" w:customStyle="1" w:styleId="63">
    <w:name w:val="页眉 字符"/>
    <w:link w:val="33"/>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字符"/>
    <w:basedOn w:val="50"/>
    <w:link w:val="20"/>
    <w:qFormat/>
    <w:uiPriority w:val="0"/>
    <w:rPr>
      <w:rFonts w:ascii="楷体_GB2312" w:hAnsi="Times New Roman" w:eastAsia="楷体_GB2312" w:cs="Times New Roman"/>
      <w:sz w:val="28"/>
      <w:szCs w:val="20"/>
    </w:rPr>
  </w:style>
  <w:style w:type="character" w:customStyle="1" w:styleId="68">
    <w:name w:val="页脚 字符"/>
    <w:basedOn w:val="50"/>
    <w:link w:val="31"/>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7"/>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字符"/>
    <w:basedOn w:val="50"/>
    <w:link w:val="29"/>
    <w:qFormat/>
    <w:uiPriority w:val="0"/>
    <w:rPr>
      <w:rFonts w:ascii="宋体" w:hAnsi="Times New Roman" w:eastAsia="宋体" w:cs="Times New Roman"/>
      <w:kern w:val="0"/>
      <w:sz w:val="24"/>
      <w:szCs w:val="20"/>
    </w:rPr>
  </w:style>
  <w:style w:type="character" w:customStyle="1" w:styleId="73">
    <w:name w:val="批注框文本 字符"/>
    <w:basedOn w:val="50"/>
    <w:link w:val="30"/>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字符"/>
    <w:basedOn w:val="50"/>
    <w:link w:val="18"/>
    <w:qFormat/>
    <w:uiPriority w:val="0"/>
    <w:rPr>
      <w:rFonts w:ascii="Times New Roman" w:hAnsi="Times New Roman" w:eastAsia="宋体" w:cs="Times New Roman"/>
      <w:szCs w:val="20"/>
    </w:rPr>
  </w:style>
  <w:style w:type="character" w:customStyle="1" w:styleId="77">
    <w:name w:val="正文文本 2 字符"/>
    <w:basedOn w:val="50"/>
    <w:link w:val="42"/>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字符"/>
    <w:basedOn w:val="50"/>
    <w:link w:val="3"/>
    <w:qFormat/>
    <w:uiPriority w:val="0"/>
    <w:rPr>
      <w:rFonts w:ascii="宋体" w:hAnsi="宋体" w:eastAsia="宋体" w:cs="Times New Roman"/>
      <w:sz w:val="24"/>
      <w:szCs w:val="20"/>
    </w:rPr>
  </w:style>
  <w:style w:type="character" w:customStyle="1" w:styleId="80">
    <w:name w:val="纯文本 字符"/>
    <w:basedOn w:val="50"/>
    <w:link w:val="25"/>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字符"/>
    <w:basedOn w:val="50"/>
    <w:link w:val="17"/>
    <w:qFormat/>
    <w:uiPriority w:val="0"/>
    <w:rPr>
      <w:rFonts w:ascii="Times New Roman" w:hAnsi="Times New Roman" w:eastAsia="华文中宋" w:cs="Times New Roman"/>
      <w:sz w:val="24"/>
      <w:szCs w:val="20"/>
      <w:shd w:val="clear" w:color="auto" w:fill="000080"/>
    </w:rPr>
  </w:style>
  <w:style w:type="character" w:customStyle="1" w:styleId="83">
    <w:name w:val="正文文本缩进 3 字符"/>
    <w:basedOn w:val="50"/>
    <w:link w:val="39"/>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表段落 字符"/>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字符"/>
    <w:basedOn w:val="50"/>
    <w:link w:val="19"/>
    <w:qFormat/>
    <w:uiPriority w:val="0"/>
    <w:rPr>
      <w:rFonts w:ascii="Times New Roman" w:hAnsi="Times New Roman" w:eastAsia="华文中宋" w:cs="Times New Roman"/>
      <w:sz w:val="16"/>
      <w:szCs w:val="16"/>
    </w:rPr>
  </w:style>
  <w:style w:type="character" w:customStyle="1" w:styleId="88">
    <w:name w:val="标题 字符"/>
    <w:basedOn w:val="50"/>
    <w:link w:val="46"/>
    <w:qFormat/>
    <w:uiPriority w:val="0"/>
    <w:rPr>
      <w:rFonts w:ascii="Cambria" w:hAnsi="Cambria" w:eastAsia="宋体" w:cs="Times New Roman"/>
      <w:b/>
      <w:bCs/>
      <w:sz w:val="32"/>
      <w:szCs w:val="32"/>
    </w:rPr>
  </w:style>
  <w:style w:type="paragraph" w:customStyle="1" w:styleId="89">
    <w:name w:val="TOC 标题1"/>
    <w:basedOn w:val="4"/>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字符"/>
    <w:basedOn w:val="50"/>
    <w:link w:val="36"/>
    <w:qFormat/>
    <w:uiPriority w:val="0"/>
    <w:rPr>
      <w:rFonts w:ascii="Cambria" w:hAnsi="Cambria" w:eastAsia="宋体" w:cs="Times New Roman"/>
      <w:b/>
      <w:bCs/>
      <w:kern w:val="28"/>
      <w:sz w:val="32"/>
      <w:szCs w:val="32"/>
    </w:rPr>
  </w:style>
  <w:style w:type="character" w:customStyle="1" w:styleId="98">
    <w:name w:val="批注主题 字符"/>
    <w:basedOn w:val="76"/>
    <w:link w:val="47"/>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文本首行缩进 字符"/>
    <w:basedOn w:val="79"/>
    <w:link w:val="2"/>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字符"/>
    <w:basedOn w:val="50"/>
    <w:link w:val="7"/>
    <w:qFormat/>
    <w:uiPriority w:val="0"/>
    <w:rPr>
      <w:rFonts w:ascii="Arial" w:hAnsi="Arial" w:eastAsia="黑体" w:cs="Times New Roman"/>
      <w:b/>
      <w:bCs/>
      <w:sz w:val="28"/>
      <w:szCs w:val="28"/>
    </w:rPr>
  </w:style>
  <w:style w:type="character" w:customStyle="1" w:styleId="109">
    <w:name w:val="标题 6 字符"/>
    <w:basedOn w:val="50"/>
    <w:link w:val="9"/>
    <w:qFormat/>
    <w:uiPriority w:val="0"/>
    <w:rPr>
      <w:rFonts w:ascii="Arial" w:hAnsi="Arial" w:eastAsia="黑体" w:cs="Times New Roman"/>
      <w:b/>
      <w:bCs/>
      <w:sz w:val="24"/>
      <w:szCs w:val="24"/>
    </w:rPr>
  </w:style>
  <w:style w:type="character" w:customStyle="1" w:styleId="110">
    <w:name w:val="标题 8 字符"/>
    <w:basedOn w:val="50"/>
    <w:link w:val="11"/>
    <w:qFormat/>
    <w:uiPriority w:val="0"/>
    <w:rPr>
      <w:rFonts w:ascii="Arial" w:hAnsi="Arial" w:eastAsia="黑体" w:cs="Times New Roman"/>
      <w:sz w:val="24"/>
      <w:szCs w:val="24"/>
    </w:rPr>
  </w:style>
  <w:style w:type="character" w:customStyle="1" w:styleId="111">
    <w:name w:val="标题 9 字符"/>
    <w:basedOn w:val="50"/>
    <w:link w:val="12"/>
    <w:qFormat/>
    <w:uiPriority w:val="0"/>
    <w:rPr>
      <w:rFonts w:ascii="Arial" w:hAnsi="Arial" w:eastAsia="黑体" w:cs="Times New Roman"/>
      <w:szCs w:val="21"/>
    </w:rPr>
  </w:style>
  <w:style w:type="paragraph" w:customStyle="1" w:styleId="112">
    <w:name w:val="TOC 标题11"/>
    <w:basedOn w:val="4"/>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312"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 w:type="paragraph" w:customStyle="1" w:styleId="122">
    <w:name w:val="修订1"/>
    <w:hidden/>
    <w:unhideWhenUsed/>
    <w:qFormat/>
    <w:uiPriority w:val="99"/>
    <w:rPr>
      <w:rFonts w:ascii="Times New Roman" w:hAnsi="Times New Roman" w:eastAsia="华文中宋" w:cs="Times New Roman"/>
      <w:kern w:val="2"/>
      <w:sz w:val="24"/>
      <w:lang w:val="en-US" w:eastAsia="zh-CN" w:bidi="ar-SA"/>
    </w:rPr>
  </w:style>
  <w:style w:type="character" w:customStyle="1" w:styleId="123">
    <w:name w:val="NormalCharacter"/>
    <w:semiHidden/>
    <w:qFormat/>
    <w:uiPriority w:val="0"/>
    <w:rPr>
      <w:kern w:val="2"/>
      <w:sz w:val="21"/>
      <w:szCs w:val="24"/>
      <w:lang w:val="en-US" w:eastAsia="zh-CN" w:bidi="ar-SA"/>
    </w:rPr>
  </w:style>
  <w:style w:type="table" w:customStyle="1" w:styleId="12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1.xml"/><Relationship Id="rId17" Type="http://schemas.openxmlformats.org/officeDocument/2006/relationships/header" Target="header5.xml"/><Relationship Id="rId16" Type="http://schemas.openxmlformats.org/officeDocument/2006/relationships/footer" Target="footer10.xml"/><Relationship Id="rId15" Type="http://schemas.openxmlformats.org/officeDocument/2006/relationships/header" Target="header4.xml"/><Relationship Id="rId14" Type="http://schemas.openxmlformats.org/officeDocument/2006/relationships/footer" Target="footer9.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header" Target="header2.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4EA306-F6AD-48B3-9948-D9DFF4D597AD}">
  <ds:schemaRefs/>
</ds:datastoreItem>
</file>

<file path=docProps/app.xml><?xml version="1.0" encoding="utf-8"?>
<Properties xmlns="http://schemas.openxmlformats.org/officeDocument/2006/extended-properties" xmlns:vt="http://schemas.openxmlformats.org/officeDocument/2006/docPropsVTypes">
  <Template>Normal</Template>
  <Company>Lenovo Win7 PC</Company>
  <Pages>63</Pages>
  <Words>12394</Words>
  <Characters>13789</Characters>
  <Lines>310</Lines>
  <Paragraphs>87</Paragraphs>
  <TotalTime>9</TotalTime>
  <ScaleCrop>false</ScaleCrop>
  <LinksUpToDate>false</LinksUpToDate>
  <CharactersWithSpaces>15226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2023-05-28T03:59:00Z</dcterms:created>
  <dc:creator>郭爱华</dc:creator>
  <cp:lastModifiedBy>颢</cp:lastModifiedBy>
  <cp:lastPrinted>2023-10-26T12:49:00Z</cp:lastPrinted>
  <dcterms:modified xsi:type="dcterms:W3CDTF">2025-11-20T07:34:40Z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3FEA5B3A337F4809BF152B15A22D180B_12</vt:lpwstr>
  </property>
  <property fmtid="{D5CDD505-2E9C-101B-9397-08002B2CF9AE}" pid="4" name="KSOTemplateDocerSaveRecord">
    <vt:lpwstr>eyJoZGlkIjoiMjA4MmUzYTIyNzllYzdlNDQyYWIxYzU5MWFlNGFhYWEiLCJ1c2VySWQiOiIyNDYyMjcwMTUifQ==</vt:lpwstr>
  </property>
</Properties>
</file>